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D" w:rsidRDefault="00EE740D">
      <w:pPr>
        <w:pStyle w:val="Title"/>
        <w:keepNext w:val="0"/>
        <w:keepLines w:val="0"/>
        <w:spacing w:after="0" w:line="240" w:lineRule="auto"/>
        <w:contextualSpacing w:val="0"/>
        <w:rPr>
          <w:rFonts w:ascii="Economica" w:eastAsia="Economica" w:hAnsi="Economica" w:cs="Economica"/>
          <w:sz w:val="60"/>
          <w:szCs w:val="60"/>
        </w:rPr>
      </w:pPr>
      <w:bookmarkStart w:id="0" w:name="_nrnw03t7conb" w:colFirst="0" w:colLast="0"/>
      <w:bookmarkEnd w:id="0"/>
      <w:r>
        <w:rPr>
          <w:rFonts w:ascii="Economica" w:eastAsia="Economica" w:hAnsi="Economica" w:cs="Economica"/>
          <w:b/>
          <w:sz w:val="60"/>
          <w:szCs w:val="60"/>
        </w:rPr>
        <w:t>NAMA MATA PELAJARAN</w:t>
      </w:r>
      <w:r>
        <w:rPr>
          <w:rFonts w:ascii="Economica" w:eastAsia="Economica" w:hAnsi="Economica" w:cs="Economica"/>
          <w:b/>
          <w:sz w:val="60"/>
          <w:szCs w:val="60"/>
        </w:rPr>
        <w:br/>
      </w:r>
      <w:r>
        <w:rPr>
          <w:rFonts w:ascii="Economica" w:eastAsia="Economica" w:hAnsi="Economica" w:cs="Economica"/>
          <w:sz w:val="60"/>
          <w:szCs w:val="60"/>
        </w:rPr>
        <w:t xml:space="preserve">MANAJEMEN PUSKESMAS 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</w:t>
      </w:r>
      <w:proofErr w:type="spellStart"/>
      <w:proofErr w:type="gramStart"/>
      <w:r>
        <w:rPr>
          <w:rFonts w:ascii="Open Sans" w:eastAsia="Open Sans" w:hAnsi="Open Sans" w:cs="Open Sans"/>
        </w:rPr>
        <w:t>reformasi</w:t>
      </w:r>
      <w:proofErr w:type="spellEnd"/>
      <w:proofErr w:type="gram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kesehatan</w:t>
      </w:r>
      <w:proofErr w:type="spellEnd"/>
      <w:r>
        <w:rPr>
          <w:rFonts w:ascii="Open Sans" w:eastAsia="Open Sans" w:hAnsi="Open Sans" w:cs="Open Sans"/>
        </w:rPr>
        <w:t>)</w:t>
      </w:r>
    </w:p>
    <w:p w:rsidR="00985CED" w:rsidRDefault="00EE740D">
      <w:pPr>
        <w:pStyle w:val="Subtitle"/>
        <w:keepNext w:val="0"/>
        <w:keepLines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s44548ln3m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INSTRUKTUR: DR.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Mubasysyir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Hasanbasri</w:t>
      </w:r>
      <w:proofErr w:type="spellEnd"/>
    </w:p>
    <w:p w:rsidR="00985CED" w:rsidRDefault="00EE740D">
      <w:pPr>
        <w:pStyle w:val="Subtitle"/>
        <w:keepNext w:val="0"/>
        <w:keepLines w:val="0"/>
        <w:spacing w:after="0" w:line="240" w:lineRule="auto"/>
        <w:contextualSpacing w:val="0"/>
        <w:rPr>
          <w:rFonts w:ascii="Economica" w:eastAsia="Economica" w:hAnsi="Economica" w:cs="Economica"/>
          <w:color w:val="8C7252"/>
          <w:sz w:val="28"/>
          <w:szCs w:val="28"/>
        </w:rPr>
      </w:pPr>
      <w:bookmarkStart w:id="2" w:name="_tb0pswljnfq9" w:colFirst="0" w:colLast="0"/>
      <w:bookmarkEnd w:id="2"/>
      <w:r>
        <w:rPr>
          <w:rFonts w:ascii="Economica" w:eastAsia="Economica" w:hAnsi="Economica" w:cs="Economica"/>
          <w:color w:val="8C7252"/>
          <w:sz w:val="28"/>
          <w:szCs w:val="28"/>
        </w:rPr>
        <w:t>rianadian.rd@gmail.com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38100"/>
            <wp:effectExtent l="0" t="0" r="0" b="0"/>
            <wp:docPr id="1" name="image1.png" descr="garis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aris horizont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5CED" w:rsidRDefault="00EE740D">
      <w:pPr>
        <w:pStyle w:val="Heading1"/>
        <w:keepNext w:val="0"/>
        <w:keepLines w:val="0"/>
        <w:spacing w:before="200" w:after="0" w:line="360" w:lineRule="auto"/>
        <w:contextualSpacing w:val="0"/>
        <w:rPr>
          <w:rFonts w:ascii="Open Sans" w:eastAsia="Open Sans" w:hAnsi="Open Sans" w:cs="Open Sans"/>
          <w:b/>
          <w:sz w:val="32"/>
          <w:szCs w:val="32"/>
        </w:rPr>
      </w:pPr>
      <w:bookmarkStart w:id="3" w:name="_rn1w2m8521yk" w:colFirst="0" w:colLast="0"/>
      <w:bookmarkEnd w:id="3"/>
      <w:r>
        <w:rPr>
          <w:rFonts w:ascii="Open Sans" w:eastAsia="Open Sans" w:hAnsi="Open Sans" w:cs="Open Sans"/>
          <w:b/>
          <w:sz w:val="32"/>
          <w:szCs w:val="32"/>
        </w:rPr>
        <w:t xml:space="preserve">9 </w:t>
      </w:r>
      <w:proofErr w:type="spellStart"/>
      <w:r>
        <w:rPr>
          <w:rFonts w:ascii="Open Sans" w:eastAsia="Open Sans" w:hAnsi="Open Sans" w:cs="Open Sans"/>
          <w:b/>
          <w:sz w:val="32"/>
          <w:szCs w:val="32"/>
        </w:rPr>
        <w:t>Oktober</w:t>
      </w:r>
      <w:proofErr w:type="spellEnd"/>
      <w:r>
        <w:rPr>
          <w:rFonts w:ascii="Open Sans" w:eastAsia="Open Sans" w:hAnsi="Open Sans" w:cs="Open Sans"/>
          <w:b/>
          <w:sz w:val="32"/>
          <w:szCs w:val="32"/>
        </w:rPr>
        <w:t xml:space="preserve"> 2018</w:t>
      </w:r>
    </w:p>
    <w:p w:rsidR="00985CED" w:rsidRDefault="00B548D8">
      <w:pPr>
        <w:spacing w:before="200" w:line="360" w:lineRule="auto"/>
        <w:contextualSpacing w:val="0"/>
        <w:jc w:val="center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Modernisasi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Implementasi</w:t>
      </w:r>
      <w:proofErr w:type="spellEnd"/>
      <w:r w:rsidR="00EE740D">
        <w:rPr>
          <w:rFonts w:ascii="Open Sans" w:eastAsia="Open Sans" w:hAnsi="Open Sans" w:cs="Open Sans"/>
          <w:b/>
        </w:rPr>
        <w:t xml:space="preserve"> Public Private Mix </w:t>
      </w:r>
      <w:proofErr w:type="spellStart"/>
      <w:r w:rsidR="00EE740D">
        <w:rPr>
          <w:rFonts w:ascii="Open Sans" w:eastAsia="Open Sans" w:hAnsi="Open Sans" w:cs="Open Sans"/>
          <w:b/>
        </w:rPr>
        <w:t>pada</w:t>
      </w:r>
      <w:proofErr w:type="spellEnd"/>
      <w:r w:rsidR="00EE740D">
        <w:rPr>
          <w:rFonts w:ascii="Open Sans" w:eastAsia="Open Sans" w:hAnsi="Open Sans" w:cs="Open Sans"/>
          <w:b/>
        </w:rPr>
        <w:t xml:space="preserve"> </w:t>
      </w:r>
      <w:proofErr w:type="spellStart"/>
      <w:r w:rsidR="00EE740D">
        <w:rPr>
          <w:rFonts w:ascii="Open Sans" w:eastAsia="Open Sans" w:hAnsi="Open Sans" w:cs="Open Sans"/>
          <w:b/>
        </w:rPr>
        <w:t>Populasi</w:t>
      </w:r>
      <w:proofErr w:type="spellEnd"/>
      <w:r w:rsidR="00EE740D">
        <w:rPr>
          <w:rFonts w:ascii="Open Sans" w:eastAsia="Open Sans" w:hAnsi="Open Sans" w:cs="Open Sans"/>
          <w:b/>
        </w:rPr>
        <w:t xml:space="preserve"> </w:t>
      </w:r>
      <w:proofErr w:type="spellStart"/>
      <w:r w:rsidR="00EE740D">
        <w:rPr>
          <w:rFonts w:ascii="Open Sans" w:eastAsia="Open Sans" w:hAnsi="Open Sans" w:cs="Open Sans"/>
          <w:b/>
        </w:rPr>
        <w:t>Berisiko</w:t>
      </w:r>
      <w:proofErr w:type="spellEnd"/>
      <w:r w:rsidR="00EE740D">
        <w:rPr>
          <w:rFonts w:ascii="Open Sans" w:eastAsia="Open Sans" w:hAnsi="Open Sans" w:cs="Open Sans"/>
          <w:b/>
        </w:rPr>
        <w:t xml:space="preserve"> di Daerah </w:t>
      </w:r>
      <w:proofErr w:type="spellStart"/>
      <w:r w:rsidR="00EE740D">
        <w:rPr>
          <w:rFonts w:ascii="Open Sans" w:eastAsia="Open Sans" w:hAnsi="Open Sans" w:cs="Open Sans"/>
          <w:b/>
        </w:rPr>
        <w:t>Kumuh</w:t>
      </w:r>
      <w:proofErr w:type="spellEnd"/>
      <w:r w:rsidR="00EE740D">
        <w:rPr>
          <w:rFonts w:ascii="Open Sans" w:eastAsia="Open Sans" w:hAnsi="Open Sans" w:cs="Open Sans"/>
          <w:b/>
        </w:rPr>
        <w:t xml:space="preserve"> </w:t>
      </w:r>
      <w:proofErr w:type="spellStart"/>
      <w:r w:rsidR="00EE740D">
        <w:rPr>
          <w:rFonts w:ascii="Open Sans" w:eastAsia="Open Sans" w:hAnsi="Open Sans" w:cs="Open Sans"/>
          <w:b/>
        </w:rPr>
        <w:t>Perkotaan</w:t>
      </w:r>
      <w:proofErr w:type="spellEnd"/>
      <w:r w:rsidR="00EE740D">
        <w:rPr>
          <w:rFonts w:ascii="Open Sans" w:eastAsia="Open Sans" w:hAnsi="Open Sans" w:cs="Open Sans"/>
          <w:b/>
        </w:rPr>
        <w:t xml:space="preserve"> Wilayah </w:t>
      </w:r>
      <w:proofErr w:type="spellStart"/>
      <w:r w:rsidR="00EE740D">
        <w:rPr>
          <w:rFonts w:ascii="Open Sans" w:eastAsia="Open Sans" w:hAnsi="Open Sans" w:cs="Open Sans"/>
          <w:b/>
        </w:rPr>
        <w:t>Kerja</w:t>
      </w:r>
      <w:proofErr w:type="spellEnd"/>
      <w:r w:rsidR="00EE740D">
        <w:rPr>
          <w:rFonts w:ascii="Open Sans" w:eastAsia="Open Sans" w:hAnsi="Open Sans" w:cs="Open Sans"/>
          <w:b/>
        </w:rPr>
        <w:t xml:space="preserve"> </w:t>
      </w:r>
      <w:proofErr w:type="spellStart"/>
      <w:r w:rsidR="00EE740D">
        <w:rPr>
          <w:rFonts w:ascii="Open Sans" w:eastAsia="Open Sans" w:hAnsi="Open Sans" w:cs="Open Sans"/>
          <w:b/>
        </w:rPr>
        <w:t>Puskesmas</w:t>
      </w:r>
      <w:proofErr w:type="spellEnd"/>
      <w:r w:rsidR="00EE740D">
        <w:rPr>
          <w:rFonts w:ascii="Open Sans" w:eastAsia="Open Sans" w:hAnsi="Open Sans" w:cs="Open Sans"/>
          <w:b/>
        </w:rPr>
        <w:t xml:space="preserve"> 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Abstrak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Latar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Belakang</w:t>
      </w:r>
      <w:proofErr w:type="spellEnd"/>
    </w:p>
    <w:p w:rsidR="00985CED" w:rsidRDefault="00EE740D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Keberadaaan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CED" w:rsidRDefault="00EE740D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Missing case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5CED" w:rsidRDefault="00EE740D">
      <w:pPr>
        <w:spacing w:before="200" w:line="360" w:lineRule="auto"/>
        <w:contextualSpacing w:val="0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Tujuan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985CED" w:rsidRDefault="00EE740D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 PPM TB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BB5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Metode</w:t>
      </w:r>
      <w:proofErr w:type="spellEnd"/>
    </w:p>
    <w:p w:rsidR="00985CED" w:rsidRDefault="00EE740D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pasitas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TB. </w:t>
      </w: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Hasil</w:t>
      </w:r>
      <w:proofErr w:type="spellEnd"/>
    </w:p>
    <w:p w:rsidR="00985CED" w:rsidRDefault="00EE740D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</w:t>
      </w:r>
      <w:r>
        <w:rPr>
          <w:rFonts w:ascii="Times New Roman" w:eastAsia="Times New Roman" w:hAnsi="Times New Roman" w:cs="Times New Roman"/>
          <w:sz w:val="24"/>
          <w:szCs w:val="24"/>
        </w:rPr>
        <w:t>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</w:t>
      </w:r>
      <w:r w:rsidR="004D0B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DBB" w:rsidRDefault="00D82DBB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PPM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21E52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PPM.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CF7" w:rsidRPr="00350CF7" w:rsidRDefault="00350CF7" w:rsidP="00350CF7">
      <w:pPr>
        <w:pStyle w:val="Caption"/>
        <w:rPr>
          <w:rFonts w:eastAsia="Times New Roman"/>
          <w:i w:val="0"/>
          <w:color w:val="auto"/>
          <w:sz w:val="24"/>
          <w:szCs w:val="24"/>
        </w:rPr>
      </w:pPr>
      <w:proofErr w:type="spellStart"/>
      <w:r w:rsidRPr="00350CF7">
        <w:rPr>
          <w:i w:val="0"/>
          <w:color w:val="auto"/>
          <w:sz w:val="24"/>
          <w:szCs w:val="24"/>
        </w:rPr>
        <w:t>Tabel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</w:t>
      </w:r>
      <w:r w:rsidRPr="00350CF7">
        <w:rPr>
          <w:i w:val="0"/>
          <w:color w:val="auto"/>
          <w:sz w:val="24"/>
          <w:szCs w:val="24"/>
        </w:rPr>
        <w:fldChar w:fldCharType="begin"/>
      </w:r>
      <w:r w:rsidRPr="00350CF7">
        <w:rPr>
          <w:i w:val="0"/>
          <w:color w:val="auto"/>
          <w:sz w:val="24"/>
          <w:szCs w:val="24"/>
        </w:rPr>
        <w:instrText xml:space="preserve"> SEQ Tabel \* ARABIC </w:instrText>
      </w:r>
      <w:r w:rsidRPr="00350CF7">
        <w:rPr>
          <w:i w:val="0"/>
          <w:color w:val="auto"/>
          <w:sz w:val="24"/>
          <w:szCs w:val="24"/>
        </w:rPr>
        <w:fldChar w:fldCharType="separate"/>
      </w:r>
      <w:r w:rsidRPr="00350CF7">
        <w:rPr>
          <w:i w:val="0"/>
          <w:noProof/>
          <w:color w:val="auto"/>
          <w:sz w:val="24"/>
          <w:szCs w:val="24"/>
        </w:rPr>
        <w:t>1</w:t>
      </w:r>
      <w:r w:rsidRPr="00350CF7">
        <w:rPr>
          <w:i w:val="0"/>
          <w:color w:val="auto"/>
          <w:sz w:val="24"/>
          <w:szCs w:val="24"/>
        </w:rPr>
        <w:fldChar w:fldCharType="end"/>
      </w:r>
      <w:r w:rsidRPr="00350CF7">
        <w:rPr>
          <w:i w:val="0"/>
          <w:color w:val="auto"/>
          <w:sz w:val="24"/>
          <w:szCs w:val="24"/>
        </w:rPr>
        <w:t xml:space="preserve">. </w:t>
      </w:r>
      <w:proofErr w:type="spellStart"/>
      <w:r w:rsidRPr="00350CF7">
        <w:rPr>
          <w:i w:val="0"/>
          <w:color w:val="auto"/>
          <w:sz w:val="24"/>
          <w:szCs w:val="24"/>
        </w:rPr>
        <w:t>Perbedaan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</w:t>
      </w:r>
      <w:proofErr w:type="spellStart"/>
      <w:r w:rsidRPr="00350CF7">
        <w:rPr>
          <w:i w:val="0"/>
          <w:color w:val="auto"/>
          <w:sz w:val="24"/>
          <w:szCs w:val="24"/>
        </w:rPr>
        <w:t>antara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Model </w:t>
      </w:r>
      <w:proofErr w:type="spellStart"/>
      <w:r w:rsidRPr="00350CF7">
        <w:rPr>
          <w:i w:val="0"/>
          <w:color w:val="auto"/>
          <w:sz w:val="24"/>
          <w:szCs w:val="24"/>
        </w:rPr>
        <w:t>Generik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PPM </w:t>
      </w:r>
      <w:proofErr w:type="spellStart"/>
      <w:r w:rsidRPr="00350CF7">
        <w:rPr>
          <w:i w:val="0"/>
          <w:color w:val="auto"/>
          <w:sz w:val="24"/>
          <w:szCs w:val="24"/>
        </w:rPr>
        <w:t>dengan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</w:t>
      </w:r>
      <w:proofErr w:type="spellStart"/>
      <w:r w:rsidRPr="00350CF7">
        <w:rPr>
          <w:i w:val="0"/>
          <w:color w:val="auto"/>
          <w:sz w:val="24"/>
          <w:szCs w:val="24"/>
        </w:rPr>
        <w:t>Modernisasi</w:t>
      </w:r>
      <w:proofErr w:type="spellEnd"/>
      <w:r w:rsidRPr="00350CF7">
        <w:rPr>
          <w:i w:val="0"/>
          <w:color w:val="auto"/>
          <w:sz w:val="24"/>
          <w:szCs w:val="24"/>
        </w:rPr>
        <w:t xml:space="preserve"> PPM </w:t>
      </w: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805"/>
      </w:tblGrid>
      <w:tr w:rsidR="00D82DBB" w:rsidTr="00915BBD">
        <w:tc>
          <w:tcPr>
            <w:tcW w:w="817" w:type="dxa"/>
          </w:tcPr>
          <w:p w:rsidR="00D82DBB" w:rsidRDefault="00667CB1" w:rsidP="00525A2E">
            <w:pPr>
              <w:spacing w:before="2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D82DBB" w:rsidRDefault="00D82DBB" w:rsidP="00525A2E">
            <w:pPr>
              <w:spacing w:before="2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119" w:type="dxa"/>
          </w:tcPr>
          <w:p w:rsidR="00D82DBB" w:rsidRDefault="00D82DBB" w:rsidP="00525A2E">
            <w:pPr>
              <w:spacing w:before="2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PPM</w:t>
            </w:r>
          </w:p>
        </w:tc>
        <w:tc>
          <w:tcPr>
            <w:tcW w:w="2805" w:type="dxa"/>
          </w:tcPr>
          <w:p w:rsidR="00D82DBB" w:rsidRDefault="00D82DBB" w:rsidP="00525A2E">
            <w:pPr>
              <w:spacing w:before="2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Modernisasi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PPM</w:t>
            </w:r>
          </w:p>
        </w:tc>
      </w:tr>
      <w:tr w:rsidR="00D82DBB" w:rsidTr="00915BBD">
        <w:tc>
          <w:tcPr>
            <w:tcW w:w="817" w:type="dxa"/>
          </w:tcPr>
          <w:p w:rsidR="00D82DBB" w:rsidRPr="00667CB1" w:rsidRDefault="00D82DBB" w:rsidP="00525A2E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DBB" w:rsidRPr="00667CB1" w:rsidRDefault="00667CB1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CB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66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PPM </w:t>
            </w:r>
          </w:p>
        </w:tc>
        <w:tc>
          <w:tcPr>
            <w:tcW w:w="3119" w:type="dxa"/>
          </w:tcPr>
          <w:p w:rsidR="00D82DBB" w:rsidRPr="00667CB1" w:rsidRDefault="00667CB1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parsial</w:t>
            </w:r>
            <w:proofErr w:type="spellEnd"/>
            <w:r w:rsidR="00886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69F0">
              <w:rPr>
                <w:rFonts w:ascii="Times New Roman" w:eastAsia="Times New Roman" w:hAnsi="Times New Roman" w:cs="Times New Roman"/>
                <w:sz w:val="24"/>
                <w:szCs w:val="24"/>
              </w:rPr>
              <w:t>terbatas</w:t>
            </w:r>
            <w:proofErr w:type="spellEnd"/>
            <w:r w:rsidR="0088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didaerah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perkotaan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5" w:type="dxa"/>
          </w:tcPr>
          <w:p w:rsidR="00D82DBB" w:rsidRPr="00667CB1" w:rsidRDefault="00667CB1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DBB" w:rsidTr="00915BBD">
        <w:tc>
          <w:tcPr>
            <w:tcW w:w="817" w:type="dxa"/>
          </w:tcPr>
          <w:p w:rsidR="00D82DBB" w:rsidRPr="00915BBD" w:rsidRDefault="00D82DBB" w:rsidP="00525A2E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DBB" w:rsidRPr="00667CB1" w:rsidRDefault="00915BBD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D82DBB" w:rsidRPr="00667CB1" w:rsidRDefault="00915BBD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D82DBB" w:rsidRPr="00667CB1" w:rsidRDefault="00915BBD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65D">
              <w:rPr>
                <w:rFonts w:ascii="Times New Roman" w:eastAsia="Times New Roman" w:hAnsi="Times New Roman" w:cs="Times New Roman"/>
                <w:sz w:val="24"/>
                <w:szCs w:val="24"/>
              </w:rPr>
              <w:t>diperluas</w:t>
            </w:r>
            <w:proofErr w:type="spellEnd"/>
            <w:r w:rsidR="0061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(DPS, </w:t>
            </w:r>
            <w:proofErr w:type="spellStart"/>
            <w:r w:rsidR="0061065D">
              <w:rPr>
                <w:rFonts w:ascii="Times New Roman" w:eastAsia="Times New Roman" w:hAnsi="Times New Roman" w:cs="Times New Roman"/>
                <w:sz w:val="24"/>
                <w:szCs w:val="24"/>
              </w:rPr>
              <w:t>Apoteker</w:t>
            </w:r>
            <w:proofErr w:type="spellEnd"/>
            <w:r w:rsidR="0061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2DB4">
              <w:rPr>
                <w:rFonts w:ascii="Times New Roman" w:eastAsia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="005F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informal)</w:t>
            </w:r>
          </w:p>
        </w:tc>
      </w:tr>
      <w:tr w:rsidR="00D82DBB" w:rsidTr="00915BBD">
        <w:tc>
          <w:tcPr>
            <w:tcW w:w="817" w:type="dxa"/>
          </w:tcPr>
          <w:p w:rsidR="00D82DBB" w:rsidRPr="00915BBD" w:rsidRDefault="00D82DBB" w:rsidP="00525A2E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DBB" w:rsidRPr="00667CB1" w:rsidRDefault="001F547B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penerapanya</w:t>
            </w:r>
            <w:proofErr w:type="spellEnd"/>
          </w:p>
        </w:tc>
        <w:tc>
          <w:tcPr>
            <w:tcW w:w="3119" w:type="dxa"/>
          </w:tcPr>
          <w:p w:rsidR="00D82DBB" w:rsidRPr="00667CB1" w:rsidRDefault="001F547B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D82DBB" w:rsidRPr="00667CB1" w:rsidRDefault="001F547B" w:rsidP="00525A2E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ditegakan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547B" w:rsidTr="00915BBD">
        <w:tc>
          <w:tcPr>
            <w:tcW w:w="817" w:type="dxa"/>
          </w:tcPr>
          <w:p w:rsidR="001F547B" w:rsidRPr="00915BBD" w:rsidRDefault="001F547B" w:rsidP="001F547B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47B" w:rsidRPr="00667CB1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kontraktual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F547B" w:rsidRPr="00667CB1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MOU)</w:t>
            </w:r>
          </w:p>
        </w:tc>
        <w:tc>
          <w:tcPr>
            <w:tcW w:w="2805" w:type="dxa"/>
          </w:tcPr>
          <w:p w:rsidR="001F547B" w:rsidRPr="00667CB1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(MOU)</w:t>
            </w:r>
          </w:p>
        </w:tc>
      </w:tr>
      <w:tr w:rsidR="001F547B" w:rsidTr="00915BBD">
        <w:tc>
          <w:tcPr>
            <w:tcW w:w="817" w:type="dxa"/>
          </w:tcPr>
          <w:p w:rsidR="001F547B" w:rsidRPr="00915BBD" w:rsidRDefault="001F547B" w:rsidP="001F547B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</w:p>
        </w:tc>
        <w:tc>
          <w:tcPr>
            <w:tcW w:w="3119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5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waralaba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F547B" w:rsidTr="00915BBD">
        <w:tc>
          <w:tcPr>
            <w:tcW w:w="817" w:type="dxa"/>
          </w:tcPr>
          <w:p w:rsidR="001F547B" w:rsidRPr="00915BBD" w:rsidRDefault="001F547B" w:rsidP="001F547B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kapasitas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swasta</w:t>
            </w:r>
            <w:proofErr w:type="spellEnd"/>
          </w:p>
        </w:tc>
      </w:tr>
      <w:tr w:rsidR="001F547B" w:rsidTr="00915BBD">
        <w:tc>
          <w:tcPr>
            <w:tcW w:w="817" w:type="dxa"/>
          </w:tcPr>
          <w:p w:rsidR="001F547B" w:rsidRPr="00915BBD" w:rsidRDefault="001F547B" w:rsidP="001F547B">
            <w:pPr>
              <w:pStyle w:val="ListParagraph"/>
              <w:numPr>
                <w:ilvl w:val="0"/>
                <w:numId w:val="1"/>
              </w:num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47B" w:rsidRDefault="00021E52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805" w:type="dxa"/>
          </w:tcPr>
          <w:p w:rsidR="001F547B" w:rsidRDefault="001F547B" w:rsidP="001F547B">
            <w:pPr>
              <w:spacing w:before="20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LSM,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82DBB" w:rsidRDefault="00D82DBB">
      <w:pPr>
        <w:spacing w:before="20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CED" w:rsidRDefault="00EE740D">
      <w:pPr>
        <w:spacing w:before="200" w:line="360" w:lineRule="auto"/>
        <w:contextualSpacing w:val="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Kesimpulan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985CED" w:rsidRDefault="00EE740D">
      <w:pPr>
        <w:spacing w:before="200" w:line="360" w:lineRule="auto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private sector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TB di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E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D5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EFF">
        <w:rPr>
          <w:rFonts w:ascii="Times New Roman" w:eastAsia="Times New Roman" w:hAnsi="Times New Roman" w:cs="Times New Roman"/>
          <w:sz w:val="24"/>
          <w:szCs w:val="24"/>
        </w:rPr>
        <w:t>kateristik</w:t>
      </w:r>
      <w:proofErr w:type="spellEnd"/>
      <w:r w:rsidR="00AD5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E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0858BE">
        <w:rPr>
          <w:rFonts w:ascii="Times New Roman" w:eastAsia="Times New Roman" w:hAnsi="Times New Roman" w:cs="Times New Roman"/>
          <w:sz w:val="24"/>
          <w:szCs w:val="24"/>
        </w:rPr>
        <w:t>enyedian</w:t>
      </w:r>
      <w:proofErr w:type="spellEnd"/>
      <w:r w:rsidR="0008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8BE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08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8BE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="0008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8BE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Modernisasi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PPM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pengemasan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08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38D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mengontrak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perantara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manajerial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proaktif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38D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="00430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5CED" w:rsidRDefault="00EE740D">
      <w:pPr>
        <w:spacing w:before="200" w:line="360" w:lineRule="auto"/>
        <w:contextualSpacing w:val="0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Referensi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985CED" w:rsidRDefault="00EE740D">
      <w:pPr>
        <w:spacing w:before="200" w:line="360" w:lineRule="auto"/>
        <w:ind w:left="720"/>
        <w:contextualSpacing w:val="0"/>
        <w:rPr>
          <w:rFonts w:ascii="Open Sans" w:eastAsia="Open Sans" w:hAnsi="Open Sans" w:cs="Open Sans"/>
          <w:sz w:val="24"/>
          <w:szCs w:val="24"/>
        </w:rPr>
      </w:pPr>
      <w:hyperlink r:id="rId7">
        <w:r>
          <w:rPr>
            <w:rFonts w:ascii="Open Sans" w:eastAsia="Open Sans" w:hAnsi="Open Sans" w:cs="Open Sans"/>
          </w:rPr>
          <w:t>[1–9]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8">
        <w:r w:rsidRPr="00350CF7">
          <w:rPr>
            <w:rFonts w:ascii="Open Sans" w:eastAsia="Open Sans" w:hAnsi="Open Sans" w:cs="Open Sans"/>
            <w:sz w:val="24"/>
            <w:szCs w:val="24"/>
          </w:rPr>
          <w:t xml:space="preserve">Williams A. Getting health reform right: a guide to improving performance and equity by Marc J. Roberts, William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Hsaio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, Peter Berman and Michael R. Reich. Oxford University Press, Oxford, New York, 2004. </w:t>
        </w:r>
        <w:r w:rsidRPr="00350CF7">
          <w:rPr>
            <w:rFonts w:ascii="Open Sans" w:eastAsia="Open Sans" w:hAnsi="Open Sans" w:cs="Open Sans"/>
            <w:sz w:val="24"/>
            <w:szCs w:val="24"/>
          </w:rPr>
          <w:t>No. of pages: 332. ISBN 0-19-516232-3. Health Econ. 2005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;14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433–434.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9"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Sekhri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N,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Feachem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R, Ni A. Public-private integrated partnerships demonstrate the potential to improve health care access, quali</w:t>
        </w:r>
        <w:r w:rsidRPr="00350CF7">
          <w:rPr>
            <w:rFonts w:ascii="Open Sans" w:eastAsia="Open Sans" w:hAnsi="Open Sans" w:cs="Open Sans"/>
            <w:sz w:val="24"/>
            <w:szCs w:val="24"/>
          </w:rPr>
          <w:t xml:space="preserve">ty, and efficiency. Health </w:t>
        </w:r>
        <w:proofErr w:type="spellStart"/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Aff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.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2011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;30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1498–1507.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0">
        <w:r w:rsidRPr="00350CF7">
          <w:rPr>
            <w:rFonts w:ascii="Open Sans" w:eastAsia="Open Sans" w:hAnsi="Open Sans" w:cs="Open Sans"/>
            <w:sz w:val="24"/>
            <w:szCs w:val="24"/>
          </w:rPr>
          <w:t xml:space="preserve">Raman, A. V., &amp;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Björkman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>, J. W. Public-private partnerships in health care in India: lessons for developing countries. 2008.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1"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Basu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S, Andrews J, Kishore S, Panjabi R,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Stuckler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D. Comparative performance of private and public healthcare systems in low- and middle-income countries: a systematic review.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PLoS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Med. 2012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;9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e1001244.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2"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Torchia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M,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Calabrò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A,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Morner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M. Public–Private Partnerships in the Health Care Sector: A systematic review of the literature. Public Management Review. 2015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;17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236–261.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3"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Whyle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EB, Olivier J. Models of public-private engagement for health services delivery and financing in Southern Africa: a systematic review. Health Policy Plan. 2016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;31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1515–1529.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4"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U</w:t>
        </w:r>
        <w:r w:rsidRPr="00350CF7">
          <w:rPr>
            <w:rFonts w:ascii="Open Sans" w:eastAsia="Open Sans" w:hAnsi="Open Sans" w:cs="Open Sans"/>
            <w:sz w:val="24"/>
            <w:szCs w:val="24"/>
          </w:rPr>
          <w:t>plekar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M. Public-private mix for tuberculosis care and prevention. What progress? What prospects?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Int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J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Tuberc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Lung Dis. 2016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;20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1424–1429.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5">
        <w:r w:rsidRPr="00350CF7">
          <w:rPr>
            <w:rFonts w:ascii="Open Sans" w:eastAsia="Open Sans" w:hAnsi="Open Sans" w:cs="Open Sans"/>
            <w:sz w:val="24"/>
            <w:szCs w:val="24"/>
          </w:rPr>
          <w:t xml:space="preserve">Kula N,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Fryatt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RJ. Public-private interactions on health </w:t>
        </w:r>
        <w:r w:rsidRPr="00350CF7">
          <w:rPr>
            <w:rFonts w:ascii="Open Sans" w:eastAsia="Open Sans" w:hAnsi="Open Sans" w:cs="Open Sans"/>
            <w:sz w:val="24"/>
            <w:szCs w:val="24"/>
          </w:rPr>
          <w:t>in South Africa: opportunities for scaling up. Health Policy Plan. 2014</w:t>
        </w:r>
        <w:proofErr w:type="gramStart"/>
        <w:r w:rsidRPr="00350CF7">
          <w:rPr>
            <w:rFonts w:ascii="Open Sans" w:eastAsia="Open Sans" w:hAnsi="Open Sans" w:cs="Open Sans"/>
            <w:sz w:val="24"/>
            <w:szCs w:val="24"/>
          </w:rPr>
          <w:t>;29</w:t>
        </w:r>
        <w:proofErr w:type="gramEnd"/>
        <w:r w:rsidRPr="00350CF7">
          <w:rPr>
            <w:rFonts w:ascii="Open Sans" w:eastAsia="Open Sans" w:hAnsi="Open Sans" w:cs="Open Sans"/>
            <w:sz w:val="24"/>
            <w:szCs w:val="24"/>
          </w:rPr>
          <w:t>: 560–569.</w:t>
        </w:r>
      </w:hyperlink>
    </w:p>
    <w:p w:rsidR="00985CED" w:rsidRPr="00350CF7" w:rsidRDefault="00EE740D" w:rsidP="00350CF7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Open Sans" w:eastAsia="Open Sans" w:hAnsi="Open Sans" w:cs="Open Sans"/>
          <w:sz w:val="24"/>
          <w:szCs w:val="24"/>
        </w:rPr>
      </w:pPr>
      <w:hyperlink r:id="rId16">
        <w:r w:rsidRPr="00350CF7">
          <w:rPr>
            <w:rFonts w:ascii="Open Sans" w:eastAsia="Open Sans" w:hAnsi="Open Sans" w:cs="Open Sans"/>
            <w:sz w:val="24"/>
            <w:szCs w:val="24"/>
          </w:rPr>
          <w:t xml:space="preserve">Arora, V. K.,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Sarin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, R., &amp;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Lönnroth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>, K. Feasibility and effectiveness of a public-private mix project for improve</w:t>
        </w:r>
        <w:r w:rsidRPr="00350CF7">
          <w:rPr>
            <w:rFonts w:ascii="Open Sans" w:eastAsia="Open Sans" w:hAnsi="Open Sans" w:cs="Open Sans"/>
            <w:sz w:val="24"/>
            <w:szCs w:val="24"/>
          </w:rPr>
          <w:t xml:space="preserve">d TB control in Delhi, India.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Int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J </w:t>
        </w:r>
        <w:proofErr w:type="spellStart"/>
        <w:r w:rsidRPr="00350CF7">
          <w:rPr>
            <w:rFonts w:ascii="Open Sans" w:eastAsia="Open Sans" w:hAnsi="Open Sans" w:cs="Open Sans"/>
            <w:sz w:val="24"/>
            <w:szCs w:val="24"/>
          </w:rPr>
          <w:t>Tuberc</w:t>
        </w:r>
        <w:proofErr w:type="spellEnd"/>
        <w:r w:rsidRPr="00350CF7">
          <w:rPr>
            <w:rFonts w:ascii="Open Sans" w:eastAsia="Open Sans" w:hAnsi="Open Sans" w:cs="Open Sans"/>
            <w:sz w:val="24"/>
            <w:szCs w:val="24"/>
          </w:rPr>
          <w:t xml:space="preserve"> Lung Dis. 2003; 7(12), 1131-1138.</w:t>
        </w:r>
      </w:hyperlink>
    </w:p>
    <w:p w:rsidR="00985CED" w:rsidRDefault="00985CED">
      <w:pPr>
        <w:widowControl w:val="0"/>
        <w:contextualSpacing w:val="0"/>
        <w:rPr>
          <w:rFonts w:ascii="Open Sans" w:eastAsia="Open Sans" w:hAnsi="Open Sans" w:cs="Open Sans"/>
          <w:sz w:val="24"/>
          <w:szCs w:val="24"/>
        </w:rPr>
      </w:pPr>
    </w:p>
    <w:p w:rsidR="00985CED" w:rsidRDefault="00985CED">
      <w:pPr>
        <w:contextualSpacing w:val="0"/>
      </w:pPr>
    </w:p>
    <w:sectPr w:rsidR="00985C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nomica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111A1"/>
    <w:multiLevelType w:val="hybridMultilevel"/>
    <w:tmpl w:val="EE4C5FC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55B1328"/>
    <w:multiLevelType w:val="hybridMultilevel"/>
    <w:tmpl w:val="BD26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4A7E"/>
    <w:multiLevelType w:val="hybridMultilevel"/>
    <w:tmpl w:val="D92AC3AC"/>
    <w:lvl w:ilvl="0" w:tplc="254631EE">
      <w:start w:val="1"/>
      <w:numFmt w:val="decimal"/>
      <w:lvlText w:val="%1.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5CED"/>
    <w:rsid w:val="00021E52"/>
    <w:rsid w:val="000662E8"/>
    <w:rsid w:val="000858BE"/>
    <w:rsid w:val="000B0885"/>
    <w:rsid w:val="001F547B"/>
    <w:rsid w:val="00350CF7"/>
    <w:rsid w:val="0038078D"/>
    <w:rsid w:val="004252FD"/>
    <w:rsid w:val="0043038D"/>
    <w:rsid w:val="004460AD"/>
    <w:rsid w:val="004D0BB5"/>
    <w:rsid w:val="00525A2E"/>
    <w:rsid w:val="005546EC"/>
    <w:rsid w:val="005F2DB4"/>
    <w:rsid w:val="0061065D"/>
    <w:rsid w:val="00667CB1"/>
    <w:rsid w:val="00697F80"/>
    <w:rsid w:val="008869F0"/>
    <w:rsid w:val="00915BBD"/>
    <w:rsid w:val="00985CED"/>
    <w:rsid w:val="00AD5EFF"/>
    <w:rsid w:val="00B548D8"/>
    <w:rsid w:val="00D82DBB"/>
    <w:rsid w:val="00EE740D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EC4F7-758D-421D-928B-E5354F5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82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CB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350CF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pile.com/b/wq0kx2/eAZ4" TargetMode="External"/><Relationship Id="rId13" Type="http://schemas.openxmlformats.org/officeDocument/2006/relationships/hyperlink" Target="http://paperpile.com/b/wq0kx2/7M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perpile.com/c/wq0kx2/eAZ4+cwR5+4lIE+sPGk+m3tQ+7M3F+3e0k+3vvu+rLSy" TargetMode="External"/><Relationship Id="rId12" Type="http://schemas.openxmlformats.org/officeDocument/2006/relationships/hyperlink" Target="http://paperpile.com/b/wq0kx2/m3t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perpile.com/b/wq0kx2/rLS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perpile.com/b/wq0kx2/sPG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perpile.com/b/wq0kx2/3vvu" TargetMode="External"/><Relationship Id="rId10" Type="http://schemas.openxmlformats.org/officeDocument/2006/relationships/hyperlink" Target="http://paperpile.com/b/wq0kx2/4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perpile.com/b/wq0kx2/cwR5" TargetMode="External"/><Relationship Id="rId14" Type="http://schemas.openxmlformats.org/officeDocument/2006/relationships/hyperlink" Target="http://paperpile.com/b/wq0kx2/3e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0D3030-DDF6-4B98-ADBA-13A787C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riana dian</cp:lastModifiedBy>
  <cp:revision>21</cp:revision>
  <dcterms:created xsi:type="dcterms:W3CDTF">2018-11-01T07:31:00Z</dcterms:created>
  <dcterms:modified xsi:type="dcterms:W3CDTF">2018-11-01T09:21:00Z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