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13C" w:rsidRDefault="0034440B">
      <w:bookmarkStart w:id="0" w:name="_GoBack"/>
      <w:bookmarkEnd w:id="0"/>
      <w:r w:rsidRPr="00547AB2">
        <w:rPr>
          <w:rFonts w:asciiTheme="majorBidi" w:hAnsiTheme="majorBidi" w:cstheme="majorBidi"/>
          <w:noProof/>
          <w:lang w:val="en-US"/>
        </w:rPr>
        <w:drawing>
          <wp:inline distT="0" distB="0" distL="0" distR="0">
            <wp:extent cx="5019675" cy="2883535"/>
            <wp:effectExtent l="0" t="0" r="9525" b="12065"/>
            <wp:docPr id="2" name="Graphiqu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66D71" w:rsidRDefault="00666D71" w:rsidP="00666D71">
      <w:pPr>
        <w:jc w:val="center"/>
        <w:rPr>
          <w:rFonts w:asciiTheme="majorBidi" w:hAnsiTheme="majorBidi" w:cstheme="majorBidi"/>
          <w:lang w:val="en-US" w:eastAsia="fr-FR"/>
        </w:rPr>
      </w:pPr>
      <w:r w:rsidRPr="00666D71">
        <w:rPr>
          <w:rFonts w:asciiTheme="majorBidi" w:hAnsiTheme="majorBidi" w:cstheme="majorBidi"/>
          <w:lang w:val="en-US" w:eastAsia="fr-FR"/>
        </w:rPr>
        <w:t>Comparison of experimental results with different models of basic magenta at initial concentration 150mg/L, T=22°C.</w:t>
      </w:r>
    </w:p>
    <w:p w:rsidR="00666D71" w:rsidRPr="00666D71" w:rsidRDefault="00666D71" w:rsidP="00666D71">
      <w:pPr>
        <w:jc w:val="center"/>
        <w:rPr>
          <w:lang w:val="en-US"/>
        </w:rPr>
      </w:pPr>
      <w:r w:rsidRPr="00666D71">
        <w:rPr>
          <w:rFonts w:asciiTheme="majorBidi" w:hAnsiTheme="majorBidi" w:cstheme="majorBidi"/>
          <w:lang w:val="en-US"/>
        </w:rPr>
        <w:t xml:space="preserve">We can notice that the chosen models are </w:t>
      </w:r>
      <w:proofErr w:type="spellStart"/>
      <w:r w:rsidRPr="00666D71">
        <w:rPr>
          <w:rFonts w:asciiTheme="majorBidi" w:hAnsiTheme="majorBidi" w:cstheme="majorBidi"/>
          <w:lang w:val="en-US"/>
        </w:rPr>
        <w:t>approching</w:t>
      </w:r>
      <w:proofErr w:type="spellEnd"/>
      <w:r w:rsidRPr="00666D71">
        <w:rPr>
          <w:rFonts w:asciiTheme="majorBidi" w:hAnsiTheme="majorBidi" w:cstheme="majorBidi"/>
          <w:lang w:val="en-US"/>
        </w:rPr>
        <w:t xml:space="preserve"> the experimental results in the following order are: External model of </w:t>
      </w:r>
      <w:proofErr w:type="spellStart"/>
      <w:r w:rsidRPr="00666D71">
        <w:rPr>
          <w:rFonts w:asciiTheme="majorBidi" w:hAnsiTheme="majorBidi" w:cstheme="majorBidi"/>
          <w:lang w:val="en-US"/>
        </w:rPr>
        <w:t>Boyds</w:t>
      </w:r>
      <w:proofErr w:type="spellEnd"/>
      <w:r w:rsidRPr="00666D71">
        <w:rPr>
          <w:rFonts w:asciiTheme="majorBidi" w:hAnsiTheme="majorBidi" w:cstheme="majorBidi"/>
          <w:lang w:val="en-US"/>
        </w:rPr>
        <w:t xml:space="preserve">&lt; Kinetic model&lt; </w:t>
      </w:r>
      <w:proofErr w:type="spellStart"/>
      <w:r w:rsidRPr="00666D71">
        <w:rPr>
          <w:rFonts w:asciiTheme="majorBidi" w:hAnsiTheme="majorBidi" w:cstheme="majorBidi"/>
          <w:lang w:val="en-US"/>
        </w:rPr>
        <w:t>Urano</w:t>
      </w:r>
      <w:proofErr w:type="spellEnd"/>
      <w:r w:rsidRPr="00666D71">
        <w:rPr>
          <w:rFonts w:asciiTheme="majorBidi" w:hAnsiTheme="majorBidi" w:cstheme="majorBidi"/>
          <w:lang w:val="en-US"/>
        </w:rPr>
        <w:t xml:space="preserve"> and </w:t>
      </w:r>
      <w:proofErr w:type="spellStart"/>
      <w:r w:rsidRPr="00666D71">
        <w:rPr>
          <w:rFonts w:asciiTheme="majorBidi" w:hAnsiTheme="majorBidi" w:cstheme="majorBidi"/>
          <w:lang w:val="en-US"/>
        </w:rPr>
        <w:t>Tachkawa</w:t>
      </w:r>
      <w:proofErr w:type="spellEnd"/>
      <w:r w:rsidRPr="00666D71">
        <w:rPr>
          <w:rFonts w:asciiTheme="majorBidi" w:hAnsiTheme="majorBidi" w:cstheme="majorBidi"/>
          <w:lang w:val="en-US"/>
        </w:rPr>
        <w:t xml:space="preserve"> model&lt; External model of Weber and Morris&lt; Weber and Morris for internal diffusion.</w:t>
      </w:r>
    </w:p>
    <w:sectPr w:rsidR="00666D71" w:rsidRPr="00666D71" w:rsidSect="00C32320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4440B"/>
    <w:rsid w:val="00210663"/>
    <w:rsid w:val="0034440B"/>
    <w:rsid w:val="00607E82"/>
    <w:rsid w:val="00666D71"/>
    <w:rsid w:val="00A71DF8"/>
    <w:rsid w:val="00B4513C"/>
    <w:rsid w:val="00C32320"/>
    <w:rsid w:val="00E84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D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84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4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2017\finalisation%20art\Cinetique%20(Enregistr&#233;%20automatiquement)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9140604412400279E-2"/>
          <c:y val="3.9906593466980028E-2"/>
          <c:w val="0.86913070509178403"/>
          <c:h val="0.82913742410140767"/>
        </c:manualLayout>
      </c:layout>
      <c:scatterChart>
        <c:scatterStyle val="lineMarker"/>
        <c:varyColors val="0"/>
        <c:ser>
          <c:idx val="0"/>
          <c:order val="0"/>
          <c:tx>
            <c:v>EXPERIMENTAL RESULT</c:v>
          </c:tx>
          <c:spPr>
            <a:ln w="25400">
              <a:noFill/>
            </a:ln>
            <a:effectLst/>
          </c:spPr>
          <c:marker>
            <c:symbol val="triangle"/>
            <c:size val="5"/>
            <c:spPr>
              <a:solidFill>
                <a:srgbClr val="00B0F0"/>
              </a:solidFill>
              <a:ln w="9525">
                <a:solidFill>
                  <a:srgbClr val="00B0F0"/>
                </a:solidFill>
              </a:ln>
              <a:effectLst/>
            </c:spPr>
          </c:marker>
          <c:xVal>
            <c:numRef>
              <c:f>comparaison!$A$7:$A$21</c:f>
              <c:numCache>
                <c:formatCode>General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15</c:v>
                </c:pt>
                <c:pt idx="8">
                  <c:v>20</c:v>
                </c:pt>
                <c:pt idx="9">
                  <c:v>25</c:v>
                </c:pt>
                <c:pt idx="10">
                  <c:v>30</c:v>
                </c:pt>
                <c:pt idx="11">
                  <c:v>35</c:v>
                </c:pt>
                <c:pt idx="12">
                  <c:v>40</c:v>
                </c:pt>
                <c:pt idx="13">
                  <c:v>60</c:v>
                </c:pt>
                <c:pt idx="14">
                  <c:v>70</c:v>
                </c:pt>
              </c:numCache>
            </c:numRef>
          </c:xVal>
          <c:yVal>
            <c:numRef>
              <c:f>comparaison!$D$7:$D$22</c:f>
              <c:numCache>
                <c:formatCode>General</c:formatCode>
                <c:ptCount val="16"/>
                <c:pt idx="0">
                  <c:v>0</c:v>
                </c:pt>
                <c:pt idx="1">
                  <c:v>190.19114688128784</c:v>
                </c:pt>
                <c:pt idx="2">
                  <c:v>190.48289738430589</c:v>
                </c:pt>
                <c:pt idx="3">
                  <c:v>191.61971830985911</c:v>
                </c:pt>
                <c:pt idx="4">
                  <c:v>192.06237424547282</c:v>
                </c:pt>
                <c:pt idx="5">
                  <c:v>193.54124748490952</c:v>
                </c:pt>
                <c:pt idx="6">
                  <c:v>194.05432595573447</c:v>
                </c:pt>
                <c:pt idx="7">
                  <c:v>195.03018108651918</c:v>
                </c:pt>
                <c:pt idx="8">
                  <c:v>195.2782996</c:v>
                </c:pt>
                <c:pt idx="9">
                  <c:v>195.85378</c:v>
                </c:pt>
                <c:pt idx="10">
                  <c:v>196.03455899999994</c:v>
                </c:pt>
                <c:pt idx="11">
                  <c:v>196.45356199999998</c:v>
                </c:pt>
                <c:pt idx="12">
                  <c:v>196.78068410462771</c:v>
                </c:pt>
                <c:pt idx="13">
                  <c:v>197.47484909456736</c:v>
                </c:pt>
                <c:pt idx="14">
                  <c:v>197.71629778672033</c:v>
                </c:pt>
                <c:pt idx="15">
                  <c:v>198.02816901408457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62E-476D-B25E-DB359CAE5040}"/>
            </c:ext>
          </c:extLst>
        </c:ser>
        <c:ser>
          <c:idx val="1"/>
          <c:order val="1"/>
          <c:tx>
            <c:v>KINETIC MODEL</c:v>
          </c:tx>
          <c:spPr>
            <a:ln w="25400">
              <a:noFill/>
            </a:ln>
            <a:effectLst/>
          </c:spPr>
          <c:marker>
            <c:symbol val="square"/>
            <c:size val="5"/>
            <c:spPr>
              <a:solidFill>
                <a:srgbClr val="FF0000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comparaison!$A$7:$A$22</c:f>
              <c:numCache>
                <c:formatCode>General</c:formatCode>
                <c:ptCount val="1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15</c:v>
                </c:pt>
                <c:pt idx="8">
                  <c:v>20</c:v>
                </c:pt>
                <c:pt idx="9">
                  <c:v>25</c:v>
                </c:pt>
                <c:pt idx="10">
                  <c:v>30</c:v>
                </c:pt>
                <c:pt idx="11">
                  <c:v>35</c:v>
                </c:pt>
                <c:pt idx="12">
                  <c:v>40</c:v>
                </c:pt>
                <c:pt idx="13">
                  <c:v>60</c:v>
                </c:pt>
                <c:pt idx="14">
                  <c:v>70</c:v>
                </c:pt>
                <c:pt idx="15">
                  <c:v>100</c:v>
                </c:pt>
              </c:numCache>
            </c:numRef>
          </c:xVal>
          <c:yVal>
            <c:numRef>
              <c:f>comparaison!$E$7:$E$22</c:f>
              <c:numCache>
                <c:formatCode>General</c:formatCode>
                <c:ptCount val="16"/>
                <c:pt idx="0">
                  <c:v>0</c:v>
                </c:pt>
                <c:pt idx="1">
                  <c:v>152.67115162620235</c:v>
                </c:pt>
                <c:pt idx="2">
                  <c:v>172.41651526125179</c:v>
                </c:pt>
                <c:pt idx="3">
                  <c:v>180.1844245810056</c:v>
                </c:pt>
                <c:pt idx="4">
                  <c:v>184.33690486725664</c:v>
                </c:pt>
                <c:pt idx="5">
                  <c:v>186.92155019629831</c:v>
                </c:pt>
                <c:pt idx="6">
                  <c:v>189.96562722905296</c:v>
                </c:pt>
                <c:pt idx="7">
                  <c:v>194.18204932996701</c:v>
                </c:pt>
                <c:pt idx="8">
                  <c:v>195.1294637002342</c:v>
                </c:pt>
                <c:pt idx="9">
                  <c:v>195.70236288901941</c:v>
                </c:pt>
                <c:pt idx="10">
                  <c:v>196.08616826828791</c:v>
                </c:pt>
                <c:pt idx="11">
                  <c:v>196.36123794293425</c:v>
                </c:pt>
                <c:pt idx="12">
                  <c:v>196.56804718372166</c:v>
                </c:pt>
                <c:pt idx="13">
                  <c:v>197.05230035474978</c:v>
                </c:pt>
                <c:pt idx="14">
                  <c:v>197.19109694869422</c:v>
                </c:pt>
                <c:pt idx="15">
                  <c:v>197.44142417061616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62E-476D-B25E-DB359CAE5040}"/>
            </c:ext>
          </c:extLst>
        </c:ser>
        <c:ser>
          <c:idx val="2"/>
          <c:order val="2"/>
          <c:tx>
            <c:v>WEBER AND MORRIS MODEL</c:v>
          </c:tx>
          <c:spPr>
            <a:ln w="25400">
              <a:noFill/>
            </a:ln>
            <a:effectLst/>
          </c:spPr>
          <c:marker>
            <c:symbol val="diamond"/>
            <c:size val="6"/>
            <c:spPr>
              <a:solidFill>
                <a:schemeClr val="accent2">
                  <a:lumMod val="50000"/>
                </a:schemeClr>
              </a:solidFill>
              <a:ln w="9525">
                <a:solidFill>
                  <a:schemeClr val="accent2">
                    <a:lumMod val="50000"/>
                  </a:schemeClr>
                </a:solidFill>
              </a:ln>
              <a:effectLst/>
            </c:spPr>
          </c:marker>
          <c:xVal>
            <c:numRef>
              <c:f>comparaison!$A$7:$A$22</c:f>
              <c:numCache>
                <c:formatCode>General</c:formatCode>
                <c:ptCount val="1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15</c:v>
                </c:pt>
                <c:pt idx="8">
                  <c:v>20</c:v>
                </c:pt>
                <c:pt idx="9">
                  <c:v>25</c:v>
                </c:pt>
                <c:pt idx="10">
                  <c:v>30</c:v>
                </c:pt>
                <c:pt idx="11">
                  <c:v>35</c:v>
                </c:pt>
                <c:pt idx="12">
                  <c:v>40</c:v>
                </c:pt>
                <c:pt idx="13">
                  <c:v>60</c:v>
                </c:pt>
                <c:pt idx="14">
                  <c:v>70</c:v>
                </c:pt>
                <c:pt idx="15">
                  <c:v>100</c:v>
                </c:pt>
              </c:numCache>
            </c:numRef>
          </c:xVal>
          <c:yVal>
            <c:numRef>
              <c:f>comparaison!$F$7:$F$22</c:f>
              <c:numCache>
                <c:formatCode>General</c:formatCode>
                <c:ptCount val="16"/>
                <c:pt idx="0">
                  <c:v>0</c:v>
                </c:pt>
                <c:pt idx="1">
                  <c:v>189.330083</c:v>
                </c:pt>
                <c:pt idx="2">
                  <c:v>190.57689999999999</c:v>
                </c:pt>
                <c:pt idx="3">
                  <c:v>191.53361599999994</c:v>
                </c:pt>
                <c:pt idx="4">
                  <c:v>192.34016499999998</c:v>
                </c:pt>
                <c:pt idx="5">
                  <c:v>193.05074900000005</c:v>
                </c:pt>
                <c:pt idx="6">
                  <c:v>194.28393</c:v>
                </c:pt>
                <c:pt idx="7">
                  <c:v>195.05200000000005</c:v>
                </c:pt>
                <c:pt idx="8">
                  <c:v>195.46690700000005</c:v>
                </c:pt>
                <c:pt idx="9">
                  <c:v>195.83244700000012</c:v>
                </c:pt>
                <c:pt idx="10">
                  <c:v>196.16292100000001</c:v>
                </c:pt>
                <c:pt idx="11">
                  <c:v>196.46682300000001</c:v>
                </c:pt>
                <c:pt idx="12">
                  <c:v>196.74968799999994</c:v>
                </c:pt>
                <c:pt idx="13">
                  <c:v>197.73399999999998</c:v>
                </c:pt>
                <c:pt idx="14">
                  <c:v>198.16378199999994</c:v>
                </c:pt>
                <c:pt idx="15">
                  <c:v>199.29489399999994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662E-476D-B25E-DB359CAE5040}"/>
            </c:ext>
          </c:extLst>
        </c:ser>
        <c:ser>
          <c:idx val="3"/>
          <c:order val="3"/>
          <c:tx>
            <c:v>URANO AND TATCIKAWA MODEL</c:v>
          </c:tx>
          <c:spPr>
            <a:ln w="25400">
              <a:noFill/>
            </a:ln>
            <a:effectLst/>
          </c:spPr>
          <c:marker>
            <c:symbol val="dash"/>
            <c:size val="4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comparaison!$A$7:$A$22</c:f>
              <c:numCache>
                <c:formatCode>General</c:formatCode>
                <c:ptCount val="1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15</c:v>
                </c:pt>
                <c:pt idx="8">
                  <c:v>20</c:v>
                </c:pt>
                <c:pt idx="9">
                  <c:v>25</c:v>
                </c:pt>
                <c:pt idx="10">
                  <c:v>30</c:v>
                </c:pt>
                <c:pt idx="11">
                  <c:v>35</c:v>
                </c:pt>
                <c:pt idx="12">
                  <c:v>40</c:v>
                </c:pt>
                <c:pt idx="13">
                  <c:v>60</c:v>
                </c:pt>
                <c:pt idx="14">
                  <c:v>70</c:v>
                </c:pt>
                <c:pt idx="15">
                  <c:v>100</c:v>
                </c:pt>
              </c:numCache>
            </c:numRef>
          </c:xVal>
          <c:yVal>
            <c:numRef>
              <c:f>comparaison!$G$7:$G$22</c:f>
              <c:numCache>
                <c:formatCode>General</c:formatCode>
                <c:ptCount val="16"/>
                <c:pt idx="0">
                  <c:v>0</c:v>
                </c:pt>
                <c:pt idx="1">
                  <c:v>195.82235700000007</c:v>
                </c:pt>
                <c:pt idx="2">
                  <c:v>197.23747</c:v>
                </c:pt>
                <c:pt idx="3">
                  <c:v>197.74407999999994</c:v>
                </c:pt>
                <c:pt idx="4">
                  <c:v>197.92601500000001</c:v>
                </c:pt>
                <c:pt idx="5">
                  <c:v>197.99142500000005</c:v>
                </c:pt>
                <c:pt idx="6">
                  <c:v>198.023414</c:v>
                </c:pt>
                <c:pt idx="7">
                  <c:v>198.02816800000005</c:v>
                </c:pt>
                <c:pt idx="8">
                  <c:v>198.02816900000005</c:v>
                </c:pt>
                <c:pt idx="9">
                  <c:v>198.02816900000005</c:v>
                </c:pt>
                <c:pt idx="10">
                  <c:v>198.02816900000005</c:v>
                </c:pt>
                <c:pt idx="11">
                  <c:v>198.02816900000005</c:v>
                </c:pt>
                <c:pt idx="12">
                  <c:v>198.02816900000005</c:v>
                </c:pt>
                <c:pt idx="13">
                  <c:v>198.02816900000005</c:v>
                </c:pt>
                <c:pt idx="14">
                  <c:v>198.02816900000005</c:v>
                </c:pt>
                <c:pt idx="15">
                  <c:v>198.02816900000005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662E-476D-B25E-DB359CAE5040}"/>
            </c:ext>
          </c:extLst>
        </c:ser>
        <c:ser>
          <c:idx val="4"/>
          <c:order val="4"/>
          <c:tx>
            <c:v>External model of Weber and Morris</c:v>
          </c:tx>
          <c:spPr>
            <a:ln w="19050">
              <a:noFill/>
            </a:ln>
          </c:spPr>
          <c:marker>
            <c:symbol val="star"/>
            <c:size val="5"/>
          </c:marker>
          <c:xVal>
            <c:numRef>
              <c:f>comparaison!$A$7:$A$20</c:f>
              <c:numCache>
                <c:formatCode>General</c:formatCode>
                <c:ptCount val="1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15</c:v>
                </c:pt>
                <c:pt idx="8">
                  <c:v>20</c:v>
                </c:pt>
                <c:pt idx="9">
                  <c:v>25</c:v>
                </c:pt>
                <c:pt idx="10">
                  <c:v>30</c:v>
                </c:pt>
                <c:pt idx="11">
                  <c:v>35</c:v>
                </c:pt>
                <c:pt idx="12">
                  <c:v>40</c:v>
                </c:pt>
                <c:pt idx="13">
                  <c:v>60</c:v>
                </c:pt>
              </c:numCache>
            </c:numRef>
          </c:xVal>
          <c:yVal>
            <c:numRef>
              <c:f>comparaison!$H$7:$H$16</c:f>
              <c:numCache>
                <c:formatCode>General</c:formatCode>
                <c:ptCount val="10"/>
                <c:pt idx="0">
                  <c:v>0</c:v>
                </c:pt>
                <c:pt idx="1">
                  <c:v>189.94</c:v>
                </c:pt>
                <c:pt idx="2">
                  <c:v>190.78</c:v>
                </c:pt>
                <c:pt idx="3">
                  <c:v>191.62</c:v>
                </c:pt>
                <c:pt idx="4">
                  <c:v>192.46</c:v>
                </c:pt>
                <c:pt idx="5">
                  <c:v>193.3</c:v>
                </c:pt>
                <c:pt idx="6">
                  <c:v>193.3</c:v>
                </c:pt>
                <c:pt idx="7">
                  <c:v>193.3</c:v>
                </c:pt>
                <c:pt idx="8">
                  <c:v>193.3</c:v>
                </c:pt>
                <c:pt idx="9">
                  <c:v>193.3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009-4248-AF02-1E6EEF5E3640}"/>
            </c:ext>
          </c:extLst>
        </c:ser>
        <c:ser>
          <c:idx val="5"/>
          <c:order val="5"/>
          <c:tx>
            <c:v>External model of Boyds</c:v>
          </c:tx>
          <c:spPr>
            <a:ln w="19050">
              <a:noFill/>
            </a:ln>
          </c:spPr>
          <c:marker>
            <c:symbol val="circle"/>
            <c:size val="5"/>
            <c:spPr>
              <a:solidFill>
                <a:srgbClr val="136715"/>
              </a:solidFill>
              <a:ln>
                <a:solidFill>
                  <a:srgbClr val="136715"/>
                </a:solidFill>
              </a:ln>
            </c:spPr>
          </c:marker>
          <c:xVal>
            <c:numRef>
              <c:f>comparaison!$A$7:$A$20</c:f>
              <c:numCache>
                <c:formatCode>General</c:formatCode>
                <c:ptCount val="1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15</c:v>
                </c:pt>
                <c:pt idx="8">
                  <c:v>20</c:v>
                </c:pt>
                <c:pt idx="9">
                  <c:v>25</c:v>
                </c:pt>
                <c:pt idx="10">
                  <c:v>30</c:v>
                </c:pt>
                <c:pt idx="11">
                  <c:v>35</c:v>
                </c:pt>
                <c:pt idx="12">
                  <c:v>40</c:v>
                </c:pt>
                <c:pt idx="13">
                  <c:v>60</c:v>
                </c:pt>
              </c:numCache>
            </c:numRef>
          </c:xVal>
          <c:yVal>
            <c:numRef>
              <c:f>comparaison!$I$7:$I$19</c:f>
              <c:numCache>
                <c:formatCode>General</c:formatCode>
                <c:ptCount val="13"/>
                <c:pt idx="0">
                  <c:v>0</c:v>
                </c:pt>
                <c:pt idx="1">
                  <c:v>148.18859700000004</c:v>
                </c:pt>
                <c:pt idx="2">
                  <c:v>151.09102800000005</c:v>
                </c:pt>
                <c:pt idx="3">
                  <c:v>153.82443400000005</c:v>
                </c:pt>
                <c:pt idx="4">
                  <c:v>156.39865900000001</c:v>
                </c:pt>
                <c:pt idx="5">
                  <c:v>156.39865900000001</c:v>
                </c:pt>
                <c:pt idx="6">
                  <c:v>156.39865900000001</c:v>
                </c:pt>
                <c:pt idx="7">
                  <c:v>156.39865900000001</c:v>
                </c:pt>
                <c:pt idx="8">
                  <c:v>156.39865900000001</c:v>
                </c:pt>
                <c:pt idx="9">
                  <c:v>156.39865900000001</c:v>
                </c:pt>
                <c:pt idx="10">
                  <c:v>156.39865900000001</c:v>
                </c:pt>
                <c:pt idx="11">
                  <c:v>156.39865900000001</c:v>
                </c:pt>
                <c:pt idx="12">
                  <c:v>156.39865900000001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009-4248-AF02-1E6EEF5E36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0730496"/>
        <c:axId val="194643456"/>
      </c:scatterChart>
      <c:valAx>
        <c:axId val="160730496"/>
        <c:scaling>
          <c:orientation val="minMax"/>
          <c:max val="6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fr-FR"/>
                  <a:t>t(min)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4643456"/>
        <c:crosses val="autoZero"/>
        <c:crossBetween val="midCat"/>
        <c:majorUnit val="10"/>
      </c:valAx>
      <c:valAx>
        <c:axId val="194643456"/>
        <c:scaling>
          <c:orientation val="minMax"/>
          <c:max val="210"/>
          <c:min val="15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fr-FR"/>
                  <a:t>Cs(mg/l)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0730496"/>
        <c:crosses val="autoZero"/>
        <c:crossBetween val="midCat"/>
      </c:valAx>
      <c:spPr>
        <a:noFill/>
        <a:ln>
          <a:solidFill>
            <a:schemeClr val="tx1">
              <a:lumMod val="75000"/>
              <a:lumOff val="25000"/>
            </a:schemeClr>
          </a:solidFill>
        </a:ln>
        <a:effectLst/>
      </c:spPr>
    </c:plotArea>
    <c:legend>
      <c:legendPos val="r"/>
      <c:layout>
        <c:manualLayout>
          <c:xMode val="edge"/>
          <c:yMode val="edge"/>
          <c:x val="0.48501656408929261"/>
          <c:y val="0.38783749807094436"/>
          <c:w val="0.44830923335187578"/>
          <c:h val="0.36697733528029225"/>
        </c:manualLayout>
      </c:layout>
      <c:overlay val="0"/>
      <c:spPr>
        <a:noFill/>
        <a:ln w="3175">
          <a:solidFill>
            <a:schemeClr val="tx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317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Winsido</dc:creator>
  <cp:lastModifiedBy>KHALLADI</cp:lastModifiedBy>
  <cp:revision>2</cp:revision>
  <dcterms:created xsi:type="dcterms:W3CDTF">2018-11-02T22:53:00Z</dcterms:created>
  <dcterms:modified xsi:type="dcterms:W3CDTF">2018-11-02T22:53:00Z</dcterms:modified>
</cp:coreProperties>
</file>