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459"/>
        <w:gridCol w:w="3222"/>
        <w:gridCol w:w="1843"/>
        <w:gridCol w:w="3969"/>
      </w:tblGrid>
      <w:tr w:rsidR="00C522ED" w:rsidRPr="00AB39DC" w14:paraId="2DB525AD" w14:textId="77777777" w:rsidTr="00AE3D21">
        <w:tc>
          <w:tcPr>
            <w:tcW w:w="459" w:type="dxa"/>
          </w:tcPr>
          <w:p w14:paraId="206C125E" w14:textId="57B226F7" w:rsidR="00C522ED" w:rsidRPr="00AB39DC" w:rsidRDefault="00C522ED" w:rsidP="00C522ED">
            <w:pPr>
              <w:jc w:val="center"/>
              <w:rPr>
                <w:rFonts w:cstheme="minorHAnsi"/>
              </w:rPr>
            </w:pPr>
            <w:bookmarkStart w:id="0" w:name="_Hlk66693794"/>
            <w:r w:rsidRPr="00AB39DC">
              <w:rPr>
                <w:rFonts w:cstheme="minorHAnsi"/>
              </w:rPr>
              <w:t>Nr.</w:t>
            </w:r>
          </w:p>
        </w:tc>
        <w:tc>
          <w:tcPr>
            <w:tcW w:w="3222" w:type="dxa"/>
          </w:tcPr>
          <w:p w14:paraId="29B5F8A2" w14:textId="622E2C73" w:rsidR="00C522ED" w:rsidRPr="00AB39DC" w:rsidRDefault="00C522ED">
            <w:pPr>
              <w:rPr>
                <w:rFonts w:cstheme="minorHAnsi"/>
              </w:rPr>
            </w:pPr>
            <w:r w:rsidRPr="00AB39DC">
              <w:rPr>
                <w:rFonts w:cstheme="minorHAnsi"/>
              </w:rPr>
              <w:t>Reviewer</w:t>
            </w:r>
          </w:p>
        </w:tc>
        <w:tc>
          <w:tcPr>
            <w:tcW w:w="1843" w:type="dxa"/>
          </w:tcPr>
          <w:p w14:paraId="451019F8" w14:textId="680F5A39" w:rsidR="00C522ED" w:rsidRPr="00AB39DC" w:rsidRDefault="006420BE">
            <w:pPr>
              <w:rPr>
                <w:rFonts w:cstheme="minorHAnsi"/>
              </w:rPr>
            </w:pPr>
            <w:r w:rsidRPr="00AB39DC">
              <w:rPr>
                <w:rFonts w:cstheme="minorHAnsi"/>
              </w:rPr>
              <w:t>Revision</w:t>
            </w:r>
          </w:p>
        </w:tc>
        <w:tc>
          <w:tcPr>
            <w:tcW w:w="3969" w:type="dxa"/>
          </w:tcPr>
          <w:p w14:paraId="15C12500" w14:textId="06B7EE1F" w:rsidR="00C522ED" w:rsidRPr="00AB39DC" w:rsidRDefault="00C522ED">
            <w:pPr>
              <w:rPr>
                <w:rFonts w:cstheme="minorHAnsi"/>
              </w:rPr>
            </w:pPr>
          </w:p>
        </w:tc>
      </w:tr>
      <w:tr w:rsidR="00C522ED" w:rsidRPr="00AB39DC" w14:paraId="7931A233" w14:textId="77777777" w:rsidTr="00AE3D21">
        <w:tc>
          <w:tcPr>
            <w:tcW w:w="459" w:type="dxa"/>
          </w:tcPr>
          <w:p w14:paraId="1D522AD6" w14:textId="04321346" w:rsidR="00C522ED" w:rsidRPr="00AB39DC" w:rsidRDefault="00C522ED" w:rsidP="00C522ED">
            <w:pPr>
              <w:jc w:val="center"/>
              <w:rPr>
                <w:rFonts w:cstheme="minorHAnsi"/>
              </w:rPr>
            </w:pPr>
            <w:r w:rsidRPr="00AB39DC">
              <w:rPr>
                <w:rFonts w:cstheme="minorHAnsi"/>
              </w:rPr>
              <w:t>1</w:t>
            </w:r>
          </w:p>
        </w:tc>
        <w:tc>
          <w:tcPr>
            <w:tcW w:w="3222" w:type="dxa"/>
          </w:tcPr>
          <w:p w14:paraId="6737FE6E" w14:textId="444A1FF6" w:rsidR="00C522ED" w:rsidRPr="00AB39DC" w:rsidRDefault="00C522ED" w:rsidP="00C522ED">
            <w:pPr>
              <w:rPr>
                <w:rFonts w:cstheme="minorHAnsi"/>
              </w:rPr>
            </w:pPr>
            <w:r w:rsidRPr="00AB39DC">
              <w:rPr>
                <w:rFonts w:cstheme="minorHAnsi"/>
              </w:rPr>
              <w:t xml:space="preserve"> In the introduction: the author did not explain in detail the urgency</w:t>
            </w:r>
          </w:p>
          <w:p w14:paraId="6A28A3AA" w14:textId="77777777" w:rsidR="00C522ED" w:rsidRPr="00AB39DC" w:rsidRDefault="00C522ED" w:rsidP="00C522ED">
            <w:pPr>
              <w:rPr>
                <w:rFonts w:cstheme="minorHAnsi"/>
              </w:rPr>
            </w:pPr>
            <w:r w:rsidRPr="00AB39DC">
              <w:rPr>
                <w:rFonts w:cstheme="minorHAnsi"/>
              </w:rPr>
              <w:t>and novelty of the research. The authors developed a validation method for</w:t>
            </w:r>
          </w:p>
          <w:p w14:paraId="341BAB91" w14:textId="77777777" w:rsidR="00C522ED" w:rsidRPr="00AB39DC" w:rsidRDefault="00C522ED" w:rsidP="00C522ED">
            <w:pPr>
              <w:rPr>
                <w:rFonts w:cstheme="minorHAnsi"/>
              </w:rPr>
            </w:pPr>
            <w:r w:rsidRPr="00AB39DC">
              <w:rPr>
                <w:rFonts w:cstheme="minorHAnsi"/>
              </w:rPr>
              <w:t>analysis using HPLC. However, there are very many studies on the validation</w:t>
            </w:r>
          </w:p>
          <w:p w14:paraId="2491A85A" w14:textId="77777777" w:rsidR="00C522ED" w:rsidRPr="00AB39DC" w:rsidRDefault="00C522ED" w:rsidP="00C522ED">
            <w:pPr>
              <w:rPr>
                <w:rFonts w:cstheme="minorHAnsi"/>
              </w:rPr>
            </w:pPr>
            <w:r w:rsidRPr="00AB39DC">
              <w:rPr>
                <w:rFonts w:cstheme="minorHAnsi"/>
              </w:rPr>
              <w:t>of HPLC, except for the development of eluent compositions used with</w:t>
            </w:r>
          </w:p>
          <w:p w14:paraId="02F453E6" w14:textId="77777777" w:rsidR="00C522ED" w:rsidRPr="00AB39DC" w:rsidRDefault="00C522ED" w:rsidP="00C522ED">
            <w:pPr>
              <w:rPr>
                <w:rFonts w:cstheme="minorHAnsi"/>
              </w:rPr>
            </w:pPr>
            <w:r w:rsidRPr="00AB39DC">
              <w:rPr>
                <w:rFonts w:cstheme="minorHAnsi"/>
              </w:rPr>
              <w:t xml:space="preserve">specificity according to the target compound. </w:t>
            </w:r>
            <w:proofErr w:type="gramStart"/>
            <w:r w:rsidRPr="00AB39DC">
              <w:rPr>
                <w:rFonts w:cstheme="minorHAnsi"/>
              </w:rPr>
              <w:t>Unfortunately</w:t>
            </w:r>
            <w:proofErr w:type="gramEnd"/>
            <w:r w:rsidRPr="00AB39DC">
              <w:rPr>
                <w:rFonts w:cstheme="minorHAnsi"/>
              </w:rPr>
              <w:t xml:space="preserve"> not described in</w:t>
            </w:r>
          </w:p>
          <w:p w14:paraId="724351CE" w14:textId="726AA3EA" w:rsidR="00C522ED" w:rsidRPr="00AB39DC" w:rsidRDefault="00C522ED" w:rsidP="00C522ED">
            <w:pPr>
              <w:rPr>
                <w:rFonts w:cstheme="minorHAnsi"/>
              </w:rPr>
            </w:pPr>
            <w:r w:rsidRPr="00AB39DC">
              <w:rPr>
                <w:rFonts w:cstheme="minorHAnsi"/>
              </w:rPr>
              <w:t xml:space="preserve">the introduction. </w:t>
            </w:r>
          </w:p>
          <w:p w14:paraId="19732BED" w14:textId="650B7C02" w:rsidR="00C522ED" w:rsidRPr="00AB39DC" w:rsidRDefault="00C522ED" w:rsidP="00C522ED">
            <w:pPr>
              <w:rPr>
                <w:rFonts w:cstheme="minorHAnsi"/>
              </w:rPr>
            </w:pPr>
          </w:p>
        </w:tc>
        <w:tc>
          <w:tcPr>
            <w:tcW w:w="1843" w:type="dxa"/>
          </w:tcPr>
          <w:p w14:paraId="701D1F8D" w14:textId="0D6FABDB" w:rsidR="006420BE" w:rsidRPr="00AB39DC" w:rsidRDefault="006420BE">
            <w:pPr>
              <w:rPr>
                <w:rFonts w:cstheme="minorHAnsi"/>
              </w:rPr>
            </w:pPr>
            <w:r w:rsidRPr="00AB39DC">
              <w:rPr>
                <w:rFonts w:cstheme="minorHAnsi"/>
              </w:rPr>
              <w:t xml:space="preserve">Additional of reason and novelty have been added in the introduction. </w:t>
            </w:r>
          </w:p>
          <w:p w14:paraId="2CEA9536" w14:textId="77777777" w:rsidR="006420BE" w:rsidRPr="00AB39DC" w:rsidRDefault="006420BE">
            <w:pPr>
              <w:rPr>
                <w:rFonts w:cstheme="minorHAnsi"/>
              </w:rPr>
            </w:pPr>
          </w:p>
          <w:p w14:paraId="7268E0E9" w14:textId="48C3EBCD" w:rsidR="00C522ED" w:rsidRPr="00AB39DC" w:rsidRDefault="00C522ED">
            <w:pPr>
              <w:rPr>
                <w:rFonts w:cstheme="minorHAnsi"/>
              </w:rPr>
            </w:pPr>
          </w:p>
        </w:tc>
        <w:tc>
          <w:tcPr>
            <w:tcW w:w="3969" w:type="dxa"/>
          </w:tcPr>
          <w:p w14:paraId="1EAD569A" w14:textId="364D174C" w:rsidR="00C603EB" w:rsidRPr="00AB39DC" w:rsidRDefault="00C603EB" w:rsidP="003F0C4B">
            <w:pPr>
              <w:pStyle w:val="MDPI21heading1"/>
              <w:spacing w:before="0" w:after="0" w:line="240" w:lineRule="auto"/>
              <w:jc w:val="both"/>
              <w:rPr>
                <w:rFonts w:asciiTheme="minorHAnsi" w:hAnsiTheme="minorHAnsi" w:cstheme="minorHAnsi"/>
                <w:b w:val="0"/>
                <w:color w:val="000000" w:themeColor="text1"/>
                <w:sz w:val="22"/>
              </w:rPr>
            </w:pPr>
            <w:bookmarkStart w:id="1" w:name="_Hlk66691267"/>
            <w:r w:rsidRPr="00AB39DC">
              <w:rPr>
                <w:rFonts w:asciiTheme="minorHAnsi" w:hAnsiTheme="minorHAnsi" w:cstheme="minorHAnsi"/>
                <w:b w:val="0"/>
                <w:color w:val="000000" w:themeColor="text1"/>
                <w:sz w:val="22"/>
              </w:rPr>
              <w:t>The use of hyphenated gas chromatography and mass spectrometry is limited in several laboratory especially in Indonesia. Therefore, a variation of HPLC method has been explored in this study by using specific eluent variant composition (acetonitrile-</w:t>
            </w:r>
            <w:proofErr w:type="spellStart"/>
            <w:r w:rsidRPr="00AB39DC">
              <w:rPr>
                <w:rFonts w:asciiTheme="minorHAnsi" w:hAnsiTheme="minorHAnsi" w:cstheme="minorHAnsi"/>
                <w:b w:val="0"/>
                <w:color w:val="000000" w:themeColor="text1"/>
                <w:sz w:val="22"/>
              </w:rPr>
              <w:t>bidistilled</w:t>
            </w:r>
            <w:proofErr w:type="spellEnd"/>
            <w:r w:rsidRPr="00AB39DC">
              <w:rPr>
                <w:rFonts w:asciiTheme="minorHAnsi" w:hAnsiTheme="minorHAnsi" w:cstheme="minorHAnsi"/>
                <w:b w:val="0"/>
                <w:color w:val="000000" w:themeColor="text1"/>
                <w:sz w:val="22"/>
              </w:rPr>
              <w:t xml:space="preserve"> water, and methanol) to get the optimum elution of anthraquinone. New composition of solvent has been developed. Therefore, this research could contribute as an alternative for selecting solvent using HPLC for detecting anthraquinone in </w:t>
            </w:r>
            <w:proofErr w:type="spellStart"/>
            <w:r w:rsidRPr="00AB39DC">
              <w:rPr>
                <w:rFonts w:asciiTheme="minorHAnsi" w:hAnsiTheme="minorHAnsi" w:cstheme="minorHAnsi"/>
                <w:b w:val="0"/>
                <w:color w:val="000000" w:themeColor="text1"/>
                <w:sz w:val="22"/>
              </w:rPr>
              <w:t>Eleutherine</w:t>
            </w:r>
            <w:proofErr w:type="spellEnd"/>
            <w:r w:rsidRPr="00AB39DC">
              <w:rPr>
                <w:rFonts w:asciiTheme="minorHAnsi" w:hAnsiTheme="minorHAnsi" w:cstheme="minorHAnsi"/>
                <w:b w:val="0"/>
                <w:color w:val="000000" w:themeColor="text1"/>
                <w:sz w:val="22"/>
              </w:rPr>
              <w:t xml:space="preserve"> americana (</w:t>
            </w:r>
            <w:proofErr w:type="spellStart"/>
            <w:r w:rsidRPr="00AB39DC">
              <w:rPr>
                <w:rFonts w:asciiTheme="minorHAnsi" w:hAnsiTheme="minorHAnsi" w:cstheme="minorHAnsi"/>
                <w:b w:val="0"/>
                <w:color w:val="000000" w:themeColor="text1"/>
                <w:sz w:val="22"/>
              </w:rPr>
              <w:t>Aubl</w:t>
            </w:r>
            <w:proofErr w:type="spellEnd"/>
            <w:r w:rsidRPr="00AB39DC">
              <w:rPr>
                <w:rFonts w:asciiTheme="minorHAnsi" w:hAnsiTheme="minorHAnsi" w:cstheme="minorHAnsi"/>
                <w:b w:val="0"/>
                <w:color w:val="000000" w:themeColor="text1"/>
                <w:sz w:val="22"/>
              </w:rPr>
              <w:t xml:space="preserve">.) </w:t>
            </w:r>
            <w:proofErr w:type="spellStart"/>
            <w:r w:rsidRPr="00AB39DC">
              <w:rPr>
                <w:rFonts w:asciiTheme="minorHAnsi" w:hAnsiTheme="minorHAnsi" w:cstheme="minorHAnsi"/>
                <w:b w:val="0"/>
                <w:color w:val="000000" w:themeColor="text1"/>
                <w:sz w:val="22"/>
              </w:rPr>
              <w:t>Merr</w:t>
            </w:r>
            <w:proofErr w:type="spellEnd"/>
            <w:r w:rsidRPr="00AB39DC">
              <w:rPr>
                <w:rFonts w:asciiTheme="minorHAnsi" w:hAnsiTheme="minorHAnsi" w:cstheme="minorHAnsi"/>
                <w:b w:val="0"/>
                <w:color w:val="000000" w:themeColor="text1"/>
                <w:sz w:val="22"/>
              </w:rPr>
              <w:t xml:space="preserve">. ex K. </w:t>
            </w:r>
            <w:proofErr w:type="spellStart"/>
            <w:r w:rsidRPr="00AB39DC">
              <w:rPr>
                <w:rFonts w:asciiTheme="minorHAnsi" w:hAnsiTheme="minorHAnsi" w:cstheme="minorHAnsi"/>
                <w:b w:val="0"/>
                <w:color w:val="000000" w:themeColor="text1"/>
                <w:sz w:val="22"/>
              </w:rPr>
              <w:t>Heyne</w:t>
            </w:r>
            <w:bookmarkEnd w:id="1"/>
            <w:proofErr w:type="spellEnd"/>
            <w:r w:rsidRPr="00AB39DC">
              <w:rPr>
                <w:rFonts w:asciiTheme="minorHAnsi" w:hAnsiTheme="minorHAnsi" w:cstheme="minorHAnsi"/>
                <w:b w:val="0"/>
                <w:color w:val="000000" w:themeColor="text1"/>
                <w:sz w:val="22"/>
              </w:rPr>
              <w:t xml:space="preserve">. </w:t>
            </w:r>
          </w:p>
          <w:p w14:paraId="3C89453A" w14:textId="66387354" w:rsidR="00C522ED" w:rsidRPr="00AB39DC" w:rsidRDefault="00C522ED">
            <w:pPr>
              <w:rPr>
                <w:rFonts w:cstheme="minorHAnsi"/>
                <w:color w:val="FF0000"/>
              </w:rPr>
            </w:pPr>
          </w:p>
        </w:tc>
      </w:tr>
      <w:tr w:rsidR="006420BE" w:rsidRPr="00AB39DC" w14:paraId="651CEB00" w14:textId="77777777" w:rsidTr="00AE3D21">
        <w:tc>
          <w:tcPr>
            <w:tcW w:w="459" w:type="dxa"/>
          </w:tcPr>
          <w:p w14:paraId="51941D53" w14:textId="47EBF65A" w:rsidR="006420BE" w:rsidRPr="00AB39DC" w:rsidRDefault="006420BE" w:rsidP="00C522ED">
            <w:pPr>
              <w:jc w:val="center"/>
              <w:rPr>
                <w:rFonts w:cstheme="minorHAnsi"/>
              </w:rPr>
            </w:pPr>
            <w:r w:rsidRPr="00AB39DC">
              <w:rPr>
                <w:rFonts w:cstheme="minorHAnsi"/>
              </w:rPr>
              <w:t>2</w:t>
            </w:r>
          </w:p>
        </w:tc>
        <w:tc>
          <w:tcPr>
            <w:tcW w:w="3222" w:type="dxa"/>
          </w:tcPr>
          <w:p w14:paraId="3A35DEFB" w14:textId="001F32C9" w:rsidR="006420BE" w:rsidRPr="00AB39DC" w:rsidRDefault="006420BE" w:rsidP="00C522ED">
            <w:pPr>
              <w:rPr>
                <w:rFonts w:cstheme="minorHAnsi"/>
              </w:rPr>
            </w:pPr>
            <w:r w:rsidRPr="00AB39DC">
              <w:rPr>
                <w:rFonts w:cstheme="minorHAnsi"/>
              </w:rPr>
              <w:t>In addition, the reference used is not up to date.</w:t>
            </w:r>
          </w:p>
        </w:tc>
        <w:tc>
          <w:tcPr>
            <w:tcW w:w="1843" w:type="dxa"/>
          </w:tcPr>
          <w:p w14:paraId="3FB81741" w14:textId="77777777" w:rsidR="006420BE" w:rsidRPr="00AB39DC" w:rsidRDefault="006420BE">
            <w:pPr>
              <w:rPr>
                <w:rFonts w:cstheme="minorHAnsi"/>
              </w:rPr>
            </w:pPr>
          </w:p>
        </w:tc>
        <w:tc>
          <w:tcPr>
            <w:tcW w:w="3969" w:type="dxa"/>
          </w:tcPr>
          <w:p w14:paraId="1460EAD0" w14:textId="6CDB4180" w:rsidR="006420BE" w:rsidRPr="00AB39DC" w:rsidRDefault="00AB39DC">
            <w:pPr>
              <w:rPr>
                <w:rFonts w:cstheme="minorHAnsi"/>
              </w:rPr>
            </w:pPr>
            <w:r w:rsidRPr="00AB39DC">
              <w:rPr>
                <w:rFonts w:cstheme="minorHAnsi"/>
              </w:rPr>
              <w:t>The revision has been done (number 8)</w:t>
            </w:r>
          </w:p>
        </w:tc>
      </w:tr>
      <w:tr w:rsidR="00C522ED" w:rsidRPr="00AB39DC" w14:paraId="7065B5E5" w14:textId="77777777" w:rsidTr="00AE3D21">
        <w:tc>
          <w:tcPr>
            <w:tcW w:w="459" w:type="dxa"/>
          </w:tcPr>
          <w:p w14:paraId="28B08C41" w14:textId="12BAB2F2" w:rsidR="00C522ED" w:rsidRPr="00AB39DC" w:rsidRDefault="006420BE" w:rsidP="00C522ED">
            <w:pPr>
              <w:jc w:val="center"/>
              <w:rPr>
                <w:rFonts w:cstheme="minorHAnsi"/>
              </w:rPr>
            </w:pPr>
            <w:r w:rsidRPr="00AB39DC">
              <w:rPr>
                <w:rFonts w:cstheme="minorHAnsi"/>
              </w:rPr>
              <w:t>3</w:t>
            </w:r>
          </w:p>
        </w:tc>
        <w:tc>
          <w:tcPr>
            <w:tcW w:w="3222" w:type="dxa"/>
          </w:tcPr>
          <w:p w14:paraId="04A15257" w14:textId="32B9ABD9" w:rsidR="00C522ED" w:rsidRPr="00AB39DC" w:rsidRDefault="00C522ED" w:rsidP="00C522ED">
            <w:pPr>
              <w:rPr>
                <w:rFonts w:cstheme="minorHAnsi"/>
              </w:rPr>
            </w:pPr>
            <w:r w:rsidRPr="00AB39DC">
              <w:rPr>
                <w:rFonts w:cstheme="minorHAnsi"/>
              </w:rPr>
              <w:t>In the experimental section: the tools and materials used are not</w:t>
            </w:r>
          </w:p>
          <w:p w14:paraId="3BE07F84" w14:textId="77777777" w:rsidR="00C522ED" w:rsidRPr="00AB39DC" w:rsidRDefault="00C522ED" w:rsidP="00C522ED">
            <w:pPr>
              <w:rPr>
                <w:rFonts w:cstheme="minorHAnsi"/>
              </w:rPr>
            </w:pPr>
            <w:r w:rsidRPr="00AB39DC">
              <w:rPr>
                <w:rFonts w:cstheme="minorHAnsi"/>
              </w:rPr>
              <w:t>described in detail, including the source of the materials and tools.</w:t>
            </w:r>
          </w:p>
          <w:p w14:paraId="6DCC4CB1" w14:textId="0F7E3F05" w:rsidR="00C522ED" w:rsidRPr="00AB39DC" w:rsidRDefault="00C522ED" w:rsidP="00C522ED">
            <w:pPr>
              <w:rPr>
                <w:rFonts w:cstheme="minorHAnsi"/>
              </w:rPr>
            </w:pPr>
          </w:p>
        </w:tc>
        <w:tc>
          <w:tcPr>
            <w:tcW w:w="1843" w:type="dxa"/>
          </w:tcPr>
          <w:p w14:paraId="51A7104C" w14:textId="35AE5734" w:rsidR="00C522ED" w:rsidRPr="00AB39DC" w:rsidRDefault="006420BE">
            <w:pPr>
              <w:rPr>
                <w:rFonts w:cstheme="minorHAnsi"/>
              </w:rPr>
            </w:pPr>
            <w:r w:rsidRPr="00AB39DC">
              <w:rPr>
                <w:rFonts w:cstheme="minorHAnsi"/>
              </w:rPr>
              <w:t>The source of materials has been added in Experimental Section</w:t>
            </w:r>
          </w:p>
        </w:tc>
        <w:tc>
          <w:tcPr>
            <w:tcW w:w="3969" w:type="dxa"/>
          </w:tcPr>
          <w:p w14:paraId="79D4B28A" w14:textId="77777777" w:rsidR="006420BE" w:rsidRPr="00AB39DC" w:rsidRDefault="006420BE" w:rsidP="006420BE">
            <w:pPr>
              <w:pStyle w:val="MDPI31text"/>
              <w:spacing w:line="360" w:lineRule="auto"/>
              <w:ind w:firstLine="0"/>
              <w:rPr>
                <w:rFonts w:asciiTheme="minorHAnsi" w:hAnsiTheme="minorHAnsi" w:cstheme="minorHAnsi"/>
                <w:color w:val="000000" w:themeColor="text1"/>
                <w:sz w:val="22"/>
              </w:rPr>
            </w:pPr>
            <w:r w:rsidRPr="00AB39DC">
              <w:rPr>
                <w:rFonts w:asciiTheme="minorHAnsi" w:hAnsiTheme="minorHAnsi" w:cstheme="minorHAnsi"/>
                <w:color w:val="000000" w:themeColor="text1"/>
                <w:sz w:val="22"/>
              </w:rPr>
              <w:t xml:space="preserve">Sample (ethanol extract, hexane fraction, water fraction, and ethyl acetate fraction of the bulbs of </w:t>
            </w:r>
            <w:proofErr w:type="spellStart"/>
            <w:r w:rsidRPr="00AB39DC">
              <w:rPr>
                <w:rFonts w:asciiTheme="minorHAnsi" w:hAnsiTheme="minorHAnsi" w:cstheme="minorHAnsi"/>
                <w:i/>
                <w:iCs/>
                <w:color w:val="000000" w:themeColor="text1"/>
                <w:sz w:val="22"/>
              </w:rPr>
              <w:t>Eleutherine</w:t>
            </w:r>
            <w:proofErr w:type="spellEnd"/>
            <w:r w:rsidRPr="00AB39DC">
              <w:rPr>
                <w:rFonts w:asciiTheme="minorHAnsi" w:hAnsiTheme="minorHAnsi" w:cstheme="minorHAnsi"/>
                <w:i/>
                <w:iCs/>
                <w:color w:val="000000" w:themeColor="text1"/>
                <w:sz w:val="22"/>
              </w:rPr>
              <w:t xml:space="preserve"> americana</w:t>
            </w:r>
            <w:r w:rsidRPr="00AB39DC">
              <w:rPr>
                <w:rFonts w:asciiTheme="minorHAnsi" w:hAnsiTheme="minorHAnsi" w:cstheme="minorHAnsi"/>
                <w:color w:val="000000" w:themeColor="text1"/>
                <w:sz w:val="22"/>
              </w:rPr>
              <w:t xml:space="preserve"> (</w:t>
            </w:r>
            <w:proofErr w:type="spellStart"/>
            <w:r w:rsidRPr="00AB39DC">
              <w:rPr>
                <w:rFonts w:asciiTheme="minorHAnsi" w:hAnsiTheme="minorHAnsi" w:cstheme="minorHAnsi"/>
                <w:color w:val="000000" w:themeColor="text1"/>
                <w:sz w:val="22"/>
              </w:rPr>
              <w:t>Aubl</w:t>
            </w:r>
            <w:proofErr w:type="spellEnd"/>
            <w:r w:rsidRPr="00AB39DC">
              <w:rPr>
                <w:rFonts w:asciiTheme="minorHAnsi" w:hAnsiTheme="minorHAnsi" w:cstheme="minorHAnsi"/>
                <w:color w:val="000000" w:themeColor="text1"/>
                <w:sz w:val="22"/>
              </w:rPr>
              <w:t xml:space="preserve">.) </w:t>
            </w:r>
            <w:proofErr w:type="spellStart"/>
            <w:r w:rsidRPr="00AB39DC">
              <w:rPr>
                <w:rFonts w:asciiTheme="minorHAnsi" w:hAnsiTheme="minorHAnsi" w:cstheme="minorHAnsi"/>
                <w:color w:val="000000" w:themeColor="text1"/>
                <w:sz w:val="22"/>
              </w:rPr>
              <w:t>Merr</w:t>
            </w:r>
            <w:proofErr w:type="spellEnd"/>
            <w:r w:rsidRPr="00AB39DC">
              <w:rPr>
                <w:rFonts w:asciiTheme="minorHAnsi" w:hAnsiTheme="minorHAnsi" w:cstheme="minorHAnsi"/>
                <w:color w:val="000000" w:themeColor="text1"/>
                <w:sz w:val="22"/>
              </w:rPr>
              <w:t xml:space="preserve">. ex K. </w:t>
            </w:r>
            <w:proofErr w:type="spellStart"/>
            <w:r w:rsidRPr="00AB39DC">
              <w:rPr>
                <w:rFonts w:asciiTheme="minorHAnsi" w:hAnsiTheme="minorHAnsi" w:cstheme="minorHAnsi"/>
                <w:color w:val="000000" w:themeColor="text1"/>
                <w:sz w:val="22"/>
              </w:rPr>
              <w:t>Heyne</w:t>
            </w:r>
            <w:proofErr w:type="spellEnd"/>
            <w:r w:rsidRPr="00AB39DC">
              <w:rPr>
                <w:rFonts w:asciiTheme="minorHAnsi" w:hAnsiTheme="minorHAnsi" w:cstheme="minorHAnsi"/>
                <w:color w:val="000000" w:themeColor="text1"/>
                <w:sz w:val="22"/>
              </w:rPr>
              <w:t xml:space="preserve">) which was provided by the Biology Pharmaceutical Lab Bandung Institute of Technology. HPLC-grade acetonitrile, HPLC-grade Methanol, </w:t>
            </w:r>
            <w:proofErr w:type="spellStart"/>
            <w:r w:rsidRPr="00AB39DC">
              <w:rPr>
                <w:rFonts w:asciiTheme="minorHAnsi" w:hAnsiTheme="minorHAnsi" w:cstheme="minorHAnsi"/>
                <w:color w:val="000000" w:themeColor="text1"/>
                <w:sz w:val="22"/>
              </w:rPr>
              <w:t>bidistilled</w:t>
            </w:r>
            <w:proofErr w:type="spellEnd"/>
            <w:r w:rsidRPr="00AB39DC">
              <w:rPr>
                <w:rFonts w:asciiTheme="minorHAnsi" w:hAnsiTheme="minorHAnsi" w:cstheme="minorHAnsi"/>
                <w:color w:val="000000" w:themeColor="text1"/>
                <w:sz w:val="22"/>
              </w:rPr>
              <w:t xml:space="preserve"> water, and micropore membrane 0.45 µm were purchased from Sigma-Aldrich (St. Louis, MO, USA).</w:t>
            </w:r>
          </w:p>
          <w:p w14:paraId="1129170B" w14:textId="77777777" w:rsidR="00C522ED" w:rsidRPr="00AB39DC" w:rsidRDefault="00C522ED">
            <w:pPr>
              <w:rPr>
                <w:rFonts w:cstheme="minorHAnsi"/>
              </w:rPr>
            </w:pPr>
          </w:p>
        </w:tc>
      </w:tr>
      <w:tr w:rsidR="00C522ED" w:rsidRPr="00AB39DC" w14:paraId="5A82E415" w14:textId="77777777" w:rsidTr="00AE3D21">
        <w:tc>
          <w:tcPr>
            <w:tcW w:w="459" w:type="dxa"/>
          </w:tcPr>
          <w:p w14:paraId="05E8B22B" w14:textId="173EFA22" w:rsidR="00C522ED" w:rsidRPr="00AB39DC" w:rsidRDefault="006420BE" w:rsidP="00C522ED">
            <w:pPr>
              <w:jc w:val="center"/>
              <w:rPr>
                <w:rFonts w:cstheme="minorHAnsi"/>
              </w:rPr>
            </w:pPr>
            <w:r w:rsidRPr="00AB39DC">
              <w:rPr>
                <w:rFonts w:cstheme="minorHAnsi"/>
              </w:rPr>
              <w:t>4</w:t>
            </w:r>
          </w:p>
        </w:tc>
        <w:tc>
          <w:tcPr>
            <w:tcW w:w="3222" w:type="dxa"/>
          </w:tcPr>
          <w:p w14:paraId="79445FCE" w14:textId="333A1A0B" w:rsidR="00C522ED" w:rsidRPr="00AB39DC" w:rsidRDefault="00C522ED" w:rsidP="00C522ED">
            <w:pPr>
              <w:rPr>
                <w:rFonts w:cstheme="minorHAnsi"/>
              </w:rPr>
            </w:pPr>
            <w:r w:rsidRPr="00AB39DC">
              <w:rPr>
                <w:rFonts w:cstheme="minorHAnsi"/>
              </w:rPr>
              <w:t>“A standard solution containing 6 µg/mL was injected to the HPLC with</w:t>
            </w:r>
          </w:p>
          <w:p w14:paraId="4F1C5C7E" w14:textId="77777777" w:rsidR="00C522ED" w:rsidRPr="00AB39DC" w:rsidRDefault="00C522ED" w:rsidP="00C522ED">
            <w:pPr>
              <w:rPr>
                <w:rFonts w:cstheme="minorHAnsi"/>
              </w:rPr>
            </w:pPr>
            <w:r w:rsidRPr="00AB39DC">
              <w:rPr>
                <w:rFonts w:cstheme="minorHAnsi"/>
              </w:rPr>
              <w:t>the system stated above for 6 replicates.” what is the standard solution</w:t>
            </w:r>
          </w:p>
          <w:p w14:paraId="0E1534F4" w14:textId="09C15166" w:rsidR="00C522ED" w:rsidRPr="00AB39DC" w:rsidRDefault="00C522ED" w:rsidP="00C522ED">
            <w:pPr>
              <w:rPr>
                <w:rFonts w:cstheme="minorHAnsi"/>
              </w:rPr>
            </w:pPr>
            <w:r w:rsidRPr="00AB39DC">
              <w:rPr>
                <w:rFonts w:cstheme="minorHAnsi"/>
              </w:rPr>
              <w:t xml:space="preserve">do you </w:t>
            </w:r>
            <w:proofErr w:type="gramStart"/>
            <w:r w:rsidRPr="00AB39DC">
              <w:rPr>
                <w:rFonts w:cstheme="minorHAnsi"/>
              </w:rPr>
              <w:t>meant</w:t>
            </w:r>
            <w:proofErr w:type="gramEnd"/>
            <w:r w:rsidRPr="00AB39DC">
              <w:rPr>
                <w:rFonts w:cstheme="minorHAnsi"/>
              </w:rPr>
              <w:t>?</w:t>
            </w:r>
          </w:p>
          <w:p w14:paraId="00288075" w14:textId="495BBECD" w:rsidR="00C522ED" w:rsidRPr="00AB39DC" w:rsidRDefault="00C522ED" w:rsidP="00C522ED">
            <w:pPr>
              <w:rPr>
                <w:rFonts w:cstheme="minorHAnsi"/>
              </w:rPr>
            </w:pPr>
          </w:p>
        </w:tc>
        <w:tc>
          <w:tcPr>
            <w:tcW w:w="1843" w:type="dxa"/>
          </w:tcPr>
          <w:p w14:paraId="2CD4BAC8" w14:textId="66CF9F77" w:rsidR="00C522ED" w:rsidRPr="00AB39DC" w:rsidRDefault="006420BE">
            <w:pPr>
              <w:rPr>
                <w:rFonts w:cstheme="minorHAnsi"/>
              </w:rPr>
            </w:pPr>
            <w:r w:rsidRPr="00AB39DC">
              <w:rPr>
                <w:rFonts w:cstheme="minorHAnsi"/>
              </w:rPr>
              <w:t xml:space="preserve">The </w:t>
            </w:r>
            <w:proofErr w:type="spellStart"/>
            <w:r w:rsidRPr="00AB39DC">
              <w:rPr>
                <w:rFonts w:cstheme="minorHAnsi"/>
              </w:rPr>
              <w:t>standar</w:t>
            </w:r>
            <w:proofErr w:type="spellEnd"/>
            <w:r w:rsidRPr="00AB39DC">
              <w:rPr>
                <w:rFonts w:cstheme="minorHAnsi"/>
              </w:rPr>
              <w:t xml:space="preserve"> solution has been added in the text</w:t>
            </w:r>
          </w:p>
        </w:tc>
        <w:tc>
          <w:tcPr>
            <w:tcW w:w="3969" w:type="dxa"/>
          </w:tcPr>
          <w:p w14:paraId="780E5FEC" w14:textId="28DD4873" w:rsidR="00C522ED" w:rsidRPr="00AB39DC" w:rsidRDefault="006420BE">
            <w:pPr>
              <w:rPr>
                <w:rFonts w:cstheme="minorHAnsi"/>
              </w:rPr>
            </w:pPr>
            <w:r w:rsidRPr="00AB39DC">
              <w:rPr>
                <w:rFonts w:cstheme="minorHAnsi"/>
                <w:color w:val="000000" w:themeColor="text1"/>
              </w:rPr>
              <w:t>A standard solution of anthraquinone containing 6 µg/mL was injected into the HPLC with the system stated above for 6 replicates</w:t>
            </w:r>
          </w:p>
        </w:tc>
      </w:tr>
      <w:tr w:rsidR="00C522ED" w:rsidRPr="00AB39DC" w14:paraId="5D5E2856" w14:textId="77777777" w:rsidTr="00AE3D21">
        <w:tc>
          <w:tcPr>
            <w:tcW w:w="459" w:type="dxa"/>
          </w:tcPr>
          <w:p w14:paraId="056D0616" w14:textId="5CFCDAD4" w:rsidR="00C522ED" w:rsidRPr="00AB39DC" w:rsidRDefault="006420BE" w:rsidP="00C522ED">
            <w:pPr>
              <w:jc w:val="center"/>
              <w:rPr>
                <w:rFonts w:cstheme="minorHAnsi"/>
              </w:rPr>
            </w:pPr>
            <w:r w:rsidRPr="00AB39DC">
              <w:rPr>
                <w:rFonts w:cstheme="minorHAnsi"/>
              </w:rPr>
              <w:t>5</w:t>
            </w:r>
          </w:p>
        </w:tc>
        <w:tc>
          <w:tcPr>
            <w:tcW w:w="3222" w:type="dxa"/>
          </w:tcPr>
          <w:p w14:paraId="6DCD669E" w14:textId="10D4FD19" w:rsidR="00C522ED" w:rsidRPr="00AB39DC" w:rsidRDefault="00C522ED" w:rsidP="00C522ED">
            <w:pPr>
              <w:rPr>
                <w:rFonts w:cstheme="minorHAnsi"/>
              </w:rPr>
            </w:pPr>
            <w:r w:rsidRPr="00AB39DC">
              <w:rPr>
                <w:rFonts w:cstheme="minorHAnsi"/>
              </w:rPr>
              <w:t>The use of the unit format and decimal numbers do not comply with</w:t>
            </w:r>
          </w:p>
          <w:p w14:paraId="7BE6A7E4" w14:textId="77777777" w:rsidR="00C522ED" w:rsidRPr="00AB39DC" w:rsidRDefault="00C522ED" w:rsidP="00C522ED">
            <w:pPr>
              <w:rPr>
                <w:rFonts w:cstheme="minorHAnsi"/>
              </w:rPr>
            </w:pPr>
            <w:r w:rsidRPr="00AB39DC">
              <w:rPr>
                <w:rFonts w:cstheme="minorHAnsi"/>
              </w:rPr>
              <w:t>international standards.</w:t>
            </w:r>
          </w:p>
          <w:p w14:paraId="6A74E380" w14:textId="19292E12" w:rsidR="00C522ED" w:rsidRPr="00AB39DC" w:rsidRDefault="00C522ED" w:rsidP="00C522ED">
            <w:pPr>
              <w:rPr>
                <w:rFonts w:cstheme="minorHAnsi"/>
              </w:rPr>
            </w:pPr>
          </w:p>
        </w:tc>
        <w:tc>
          <w:tcPr>
            <w:tcW w:w="1843" w:type="dxa"/>
          </w:tcPr>
          <w:p w14:paraId="21489898" w14:textId="28B9337F" w:rsidR="00C522ED" w:rsidRPr="00AB39DC" w:rsidRDefault="006420BE">
            <w:pPr>
              <w:rPr>
                <w:rFonts w:cstheme="minorHAnsi"/>
              </w:rPr>
            </w:pPr>
            <w:r w:rsidRPr="00AB39DC">
              <w:rPr>
                <w:rFonts w:cstheme="minorHAnsi"/>
              </w:rPr>
              <w:t>We have revised accomplice to International Standard</w:t>
            </w:r>
          </w:p>
        </w:tc>
        <w:tc>
          <w:tcPr>
            <w:tcW w:w="3969" w:type="dxa"/>
          </w:tcPr>
          <w:p w14:paraId="7912B2B1" w14:textId="477FD346" w:rsidR="00C522ED" w:rsidRPr="00AB39DC" w:rsidRDefault="00AB39DC">
            <w:pPr>
              <w:rPr>
                <w:rFonts w:cstheme="minorHAnsi"/>
              </w:rPr>
            </w:pPr>
            <w:r>
              <w:rPr>
                <w:rFonts w:cstheme="minorHAnsi"/>
              </w:rPr>
              <w:t xml:space="preserve">Comma (,) has been replaced by point </w:t>
            </w:r>
            <w:proofErr w:type="gramStart"/>
            <w:r>
              <w:rPr>
                <w:rFonts w:cstheme="minorHAnsi"/>
              </w:rPr>
              <w:t>(.)  for</w:t>
            </w:r>
            <w:proofErr w:type="gramEnd"/>
            <w:r>
              <w:rPr>
                <w:rFonts w:cstheme="minorHAnsi"/>
              </w:rPr>
              <w:t xml:space="preserve"> decimal numbers</w:t>
            </w:r>
          </w:p>
        </w:tc>
      </w:tr>
      <w:tr w:rsidR="00C522ED" w:rsidRPr="00AB39DC" w14:paraId="5C7ACAA9" w14:textId="77777777" w:rsidTr="00AE3D21">
        <w:tc>
          <w:tcPr>
            <w:tcW w:w="459" w:type="dxa"/>
          </w:tcPr>
          <w:p w14:paraId="095D2B71" w14:textId="71753A87" w:rsidR="00C522ED" w:rsidRPr="00AB39DC" w:rsidRDefault="006420BE" w:rsidP="00C522ED">
            <w:pPr>
              <w:jc w:val="center"/>
              <w:rPr>
                <w:rFonts w:cstheme="minorHAnsi"/>
              </w:rPr>
            </w:pPr>
            <w:r w:rsidRPr="00AB39DC">
              <w:rPr>
                <w:rFonts w:cstheme="minorHAnsi"/>
              </w:rPr>
              <w:lastRenderedPageBreak/>
              <w:t>6</w:t>
            </w:r>
          </w:p>
        </w:tc>
        <w:tc>
          <w:tcPr>
            <w:tcW w:w="3222" w:type="dxa"/>
          </w:tcPr>
          <w:p w14:paraId="5BD9162B" w14:textId="194AB74A" w:rsidR="00C522ED" w:rsidRPr="00AB39DC" w:rsidRDefault="00C522ED" w:rsidP="00C522ED">
            <w:pPr>
              <w:rPr>
                <w:rFonts w:cstheme="minorHAnsi"/>
              </w:rPr>
            </w:pPr>
            <w:r w:rsidRPr="00AB39DC">
              <w:rPr>
                <w:rFonts w:cstheme="minorHAnsi"/>
              </w:rPr>
              <w:t>In the discussion, the author discusses too many methods, too many</w:t>
            </w:r>
          </w:p>
          <w:p w14:paraId="32346137" w14:textId="77777777" w:rsidR="00C522ED" w:rsidRPr="00AB39DC" w:rsidRDefault="00C522ED" w:rsidP="00C522ED">
            <w:pPr>
              <w:rPr>
                <w:rFonts w:cstheme="minorHAnsi"/>
              </w:rPr>
            </w:pPr>
            <w:r w:rsidRPr="00AB39DC">
              <w:rPr>
                <w:rFonts w:cstheme="minorHAnsi"/>
              </w:rPr>
              <w:t>repetitive words and sentences. Novelty's findings are not described in</w:t>
            </w:r>
          </w:p>
          <w:p w14:paraId="1E823C8C" w14:textId="77777777" w:rsidR="00C522ED" w:rsidRPr="00AB39DC" w:rsidRDefault="00C522ED" w:rsidP="00C522ED">
            <w:pPr>
              <w:rPr>
                <w:rFonts w:cstheme="minorHAnsi"/>
              </w:rPr>
            </w:pPr>
            <w:r w:rsidRPr="00AB39DC">
              <w:rPr>
                <w:rFonts w:cstheme="minorHAnsi"/>
              </w:rPr>
              <w:t>detail, so it is difficult to understand the ultimate goal of this study.</w:t>
            </w:r>
          </w:p>
          <w:p w14:paraId="003E44C9" w14:textId="5A23347D" w:rsidR="00C522ED" w:rsidRPr="00AB39DC" w:rsidRDefault="00C522ED" w:rsidP="00C522ED">
            <w:pPr>
              <w:rPr>
                <w:rFonts w:cstheme="minorHAnsi"/>
              </w:rPr>
            </w:pPr>
          </w:p>
        </w:tc>
        <w:tc>
          <w:tcPr>
            <w:tcW w:w="1843" w:type="dxa"/>
          </w:tcPr>
          <w:p w14:paraId="6FE188D1" w14:textId="233A9010" w:rsidR="00C522ED" w:rsidRPr="00AB39DC" w:rsidRDefault="006420BE">
            <w:pPr>
              <w:rPr>
                <w:rFonts w:cstheme="minorHAnsi"/>
              </w:rPr>
            </w:pPr>
            <w:r w:rsidRPr="00AB39DC">
              <w:rPr>
                <w:rFonts w:cstheme="minorHAnsi"/>
              </w:rPr>
              <w:t xml:space="preserve">We have revised the repetitive sentence and elaborate the novelty finding </w:t>
            </w:r>
          </w:p>
        </w:tc>
        <w:tc>
          <w:tcPr>
            <w:tcW w:w="3969" w:type="dxa"/>
          </w:tcPr>
          <w:p w14:paraId="5FA80F03" w14:textId="0E00BB98" w:rsidR="00893267" w:rsidRDefault="00893267" w:rsidP="00AB39DC">
            <w:pPr>
              <w:rPr>
                <w:rFonts w:cstheme="minorHAnsi"/>
                <w:color w:val="000000" w:themeColor="text1"/>
              </w:rPr>
            </w:pPr>
            <w:bookmarkStart w:id="2" w:name="_Hlk66693101"/>
            <w:r>
              <w:rPr>
                <w:rFonts w:cstheme="minorHAnsi"/>
                <w:color w:val="000000" w:themeColor="text1"/>
              </w:rPr>
              <w:t>Repetition of “the next parameter” in each paragraph has been deleted</w:t>
            </w:r>
          </w:p>
          <w:p w14:paraId="15CA6820" w14:textId="77777777" w:rsidR="00893267" w:rsidRDefault="00893267" w:rsidP="00AB39DC">
            <w:pPr>
              <w:rPr>
                <w:rFonts w:cstheme="minorHAnsi"/>
                <w:color w:val="000000" w:themeColor="text1"/>
              </w:rPr>
            </w:pPr>
          </w:p>
          <w:p w14:paraId="3189AB6C" w14:textId="1817AF2D" w:rsidR="00013F03" w:rsidRPr="00AB39DC" w:rsidRDefault="00013F03" w:rsidP="00AB39DC">
            <w:pPr>
              <w:rPr>
                <w:rFonts w:cstheme="minorHAnsi"/>
                <w:color w:val="000000" w:themeColor="text1"/>
              </w:rPr>
            </w:pPr>
            <w:r w:rsidRPr="00AB39DC">
              <w:rPr>
                <w:rFonts w:cstheme="minorHAnsi"/>
                <w:color w:val="000000" w:themeColor="text1"/>
              </w:rPr>
              <w:t>Based on the results, acetonitrile-</w:t>
            </w:r>
            <w:proofErr w:type="spellStart"/>
            <w:r w:rsidRPr="00AB39DC">
              <w:rPr>
                <w:rFonts w:cstheme="minorHAnsi"/>
                <w:color w:val="000000" w:themeColor="text1"/>
              </w:rPr>
              <w:t>bidistilled</w:t>
            </w:r>
            <w:proofErr w:type="spellEnd"/>
            <w:r w:rsidRPr="00AB39DC">
              <w:rPr>
                <w:rFonts w:cstheme="minorHAnsi"/>
                <w:color w:val="000000" w:themeColor="text1"/>
              </w:rPr>
              <w:t xml:space="preserve"> water (50:50) gave the best result, and therefore it was chosen to be the mobile phase in this research</w:t>
            </w:r>
            <w:r w:rsidR="00AB39DC">
              <w:rPr>
                <w:rFonts w:cstheme="minorHAnsi"/>
                <w:color w:val="000000" w:themeColor="text1"/>
              </w:rPr>
              <w:t xml:space="preserve">. This result revealed a new composition </w:t>
            </w:r>
            <w:r w:rsidR="00893267">
              <w:rPr>
                <w:rFonts w:cstheme="minorHAnsi"/>
                <w:color w:val="000000" w:themeColor="text1"/>
              </w:rPr>
              <w:t xml:space="preserve">of solvent using in HPLC </w:t>
            </w:r>
            <w:r w:rsidR="00AB39DC">
              <w:rPr>
                <w:rFonts w:cstheme="minorHAnsi"/>
                <w:color w:val="000000" w:themeColor="text1"/>
              </w:rPr>
              <w:t>for determining anthraquinone.</w:t>
            </w:r>
          </w:p>
          <w:bookmarkEnd w:id="2"/>
          <w:p w14:paraId="5F84E6E0" w14:textId="77777777" w:rsidR="00013F03" w:rsidRPr="00AB39DC" w:rsidRDefault="00013F03" w:rsidP="00AB39DC">
            <w:pPr>
              <w:spacing w:line="360" w:lineRule="auto"/>
              <w:rPr>
                <w:rFonts w:cstheme="minorHAnsi"/>
                <w:color w:val="000000" w:themeColor="text1"/>
              </w:rPr>
            </w:pPr>
          </w:p>
          <w:p w14:paraId="3A4AA3CD" w14:textId="3E523B13" w:rsidR="00C522ED" w:rsidRPr="00AB39DC" w:rsidRDefault="00C522ED" w:rsidP="00AB39DC">
            <w:pPr>
              <w:spacing w:line="360" w:lineRule="auto"/>
              <w:rPr>
                <w:rFonts w:cstheme="minorHAnsi"/>
                <w:color w:val="000000" w:themeColor="text1"/>
              </w:rPr>
            </w:pPr>
          </w:p>
        </w:tc>
      </w:tr>
      <w:tr w:rsidR="00C522ED" w:rsidRPr="00AB39DC" w14:paraId="50E3DD86" w14:textId="77777777" w:rsidTr="00AE3D21">
        <w:trPr>
          <w:trHeight w:val="1041"/>
        </w:trPr>
        <w:tc>
          <w:tcPr>
            <w:tcW w:w="459" w:type="dxa"/>
          </w:tcPr>
          <w:p w14:paraId="147A56D6" w14:textId="48BF1E8D" w:rsidR="00C522ED" w:rsidRPr="00AB39DC" w:rsidRDefault="006420BE" w:rsidP="00C522ED">
            <w:pPr>
              <w:jc w:val="center"/>
              <w:rPr>
                <w:rFonts w:cstheme="minorHAnsi"/>
              </w:rPr>
            </w:pPr>
            <w:r w:rsidRPr="00AB39DC">
              <w:rPr>
                <w:rFonts w:cstheme="minorHAnsi"/>
              </w:rPr>
              <w:t>7</w:t>
            </w:r>
          </w:p>
        </w:tc>
        <w:tc>
          <w:tcPr>
            <w:tcW w:w="3222" w:type="dxa"/>
          </w:tcPr>
          <w:p w14:paraId="1A0BB7EF" w14:textId="4ECBD6E5" w:rsidR="009E489F" w:rsidRPr="00AB39DC" w:rsidRDefault="00813E81" w:rsidP="009E489F">
            <w:pPr>
              <w:rPr>
                <w:rFonts w:cstheme="minorHAnsi"/>
              </w:rPr>
            </w:pPr>
            <w:r w:rsidRPr="00AB39DC">
              <w:rPr>
                <w:rFonts w:cstheme="minorHAnsi"/>
              </w:rPr>
              <w:t>Q</w:t>
            </w:r>
            <w:r w:rsidR="00C522ED" w:rsidRPr="00AB39DC">
              <w:rPr>
                <w:rFonts w:cstheme="minorHAnsi"/>
              </w:rPr>
              <w:t xml:space="preserve">uality of the chromatogram in Fig 1 needs improvement. </w:t>
            </w:r>
          </w:p>
          <w:p w14:paraId="6DBD9167" w14:textId="72087566" w:rsidR="00C522ED" w:rsidRPr="00AB39DC" w:rsidRDefault="00C522ED" w:rsidP="00C522ED">
            <w:pPr>
              <w:rPr>
                <w:rFonts w:cstheme="minorHAnsi"/>
              </w:rPr>
            </w:pPr>
          </w:p>
        </w:tc>
        <w:tc>
          <w:tcPr>
            <w:tcW w:w="1843" w:type="dxa"/>
          </w:tcPr>
          <w:p w14:paraId="1C801EB9" w14:textId="635CC4CC" w:rsidR="00C522ED" w:rsidRPr="00AB39DC" w:rsidRDefault="00B215EE">
            <w:pPr>
              <w:rPr>
                <w:rFonts w:cstheme="minorHAnsi"/>
              </w:rPr>
            </w:pPr>
            <w:r w:rsidRPr="00AB39DC">
              <w:rPr>
                <w:rFonts w:cstheme="minorHAnsi"/>
              </w:rPr>
              <w:t>The quality ha</w:t>
            </w:r>
            <w:r w:rsidR="009E489F" w:rsidRPr="00AB39DC">
              <w:rPr>
                <w:rFonts w:cstheme="minorHAnsi"/>
              </w:rPr>
              <w:t>s</w:t>
            </w:r>
            <w:r w:rsidRPr="00AB39DC">
              <w:rPr>
                <w:rFonts w:cstheme="minorHAnsi"/>
              </w:rPr>
              <w:t xml:space="preserve"> been improved </w:t>
            </w:r>
          </w:p>
        </w:tc>
        <w:tc>
          <w:tcPr>
            <w:tcW w:w="3969" w:type="dxa"/>
          </w:tcPr>
          <w:p w14:paraId="7A274DE2" w14:textId="6D2E9973" w:rsidR="00C522ED" w:rsidRPr="00AB39DC" w:rsidRDefault="009E489F">
            <w:pPr>
              <w:rPr>
                <w:rFonts w:cstheme="minorHAnsi"/>
              </w:rPr>
            </w:pPr>
            <w:r w:rsidRPr="00AB39DC">
              <w:rPr>
                <w:rFonts w:cstheme="minorHAnsi"/>
                <w:noProof/>
              </w:rPr>
              <w:drawing>
                <wp:inline distT="0" distB="0" distL="0" distR="0" wp14:anchorId="0FCD41FC" wp14:editId="3378875F">
                  <wp:extent cx="2350770" cy="11595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8585" cy="1168336"/>
                          </a:xfrm>
                          <a:prstGeom prst="rect">
                            <a:avLst/>
                          </a:prstGeom>
                        </pic:spPr>
                      </pic:pic>
                    </a:graphicData>
                  </a:graphic>
                </wp:inline>
              </w:drawing>
            </w:r>
            <w:r w:rsidRPr="00AB39DC">
              <w:rPr>
                <w:rFonts w:cstheme="minorHAnsi"/>
                <w:noProof/>
              </w:rPr>
              <w:drawing>
                <wp:inline distT="0" distB="0" distL="0" distR="0" wp14:anchorId="2FC1BA81" wp14:editId="3EA04955">
                  <wp:extent cx="2400092" cy="125736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6710" cy="1276547"/>
                          </a:xfrm>
                          <a:prstGeom prst="rect">
                            <a:avLst/>
                          </a:prstGeom>
                        </pic:spPr>
                      </pic:pic>
                    </a:graphicData>
                  </a:graphic>
                </wp:inline>
              </w:drawing>
            </w:r>
          </w:p>
        </w:tc>
      </w:tr>
      <w:tr w:rsidR="00C522ED" w:rsidRPr="00AB39DC" w14:paraId="6375EB7C" w14:textId="77777777" w:rsidTr="00AE3D21">
        <w:tc>
          <w:tcPr>
            <w:tcW w:w="459" w:type="dxa"/>
          </w:tcPr>
          <w:p w14:paraId="30E2B8D8" w14:textId="1BDDC8FA" w:rsidR="00C522ED" w:rsidRPr="00AB39DC" w:rsidRDefault="006420BE" w:rsidP="00C522ED">
            <w:pPr>
              <w:jc w:val="center"/>
              <w:rPr>
                <w:rFonts w:cstheme="minorHAnsi"/>
              </w:rPr>
            </w:pPr>
            <w:bookmarkStart w:id="3" w:name="_Hlk66692107"/>
            <w:r w:rsidRPr="00AB39DC">
              <w:rPr>
                <w:rFonts w:cstheme="minorHAnsi"/>
              </w:rPr>
              <w:t>8</w:t>
            </w:r>
          </w:p>
        </w:tc>
        <w:tc>
          <w:tcPr>
            <w:tcW w:w="3222" w:type="dxa"/>
          </w:tcPr>
          <w:p w14:paraId="181BFEFC" w14:textId="66574A13" w:rsidR="00C522ED" w:rsidRPr="00AB39DC" w:rsidRDefault="00C522ED" w:rsidP="00C522ED">
            <w:pPr>
              <w:rPr>
                <w:rFonts w:cstheme="minorHAnsi"/>
              </w:rPr>
            </w:pPr>
            <w:r w:rsidRPr="00AB39DC">
              <w:rPr>
                <w:rFonts w:cstheme="minorHAnsi"/>
              </w:rPr>
              <w:t>Add the number of references to a minimum of 20 references and 80% of</w:t>
            </w:r>
          </w:p>
          <w:p w14:paraId="50B6326C" w14:textId="0511C951" w:rsidR="00C522ED" w:rsidRPr="00AB39DC" w:rsidRDefault="00C522ED" w:rsidP="00C522ED">
            <w:pPr>
              <w:rPr>
                <w:rFonts w:cstheme="minorHAnsi"/>
              </w:rPr>
            </w:pPr>
            <w:r w:rsidRPr="00AB39DC">
              <w:rPr>
                <w:rFonts w:cstheme="minorHAnsi"/>
              </w:rPr>
              <w:t>those are up to date (last 10 year published).</w:t>
            </w:r>
          </w:p>
        </w:tc>
        <w:tc>
          <w:tcPr>
            <w:tcW w:w="1843" w:type="dxa"/>
          </w:tcPr>
          <w:p w14:paraId="78B943C7" w14:textId="05656C93" w:rsidR="00C522ED" w:rsidRPr="00AB39DC" w:rsidRDefault="00B215EE">
            <w:pPr>
              <w:rPr>
                <w:rFonts w:cstheme="minorHAnsi"/>
              </w:rPr>
            </w:pPr>
            <w:r w:rsidRPr="00AB39DC">
              <w:rPr>
                <w:rFonts w:cstheme="minorHAnsi"/>
              </w:rPr>
              <w:t>The reference has bee</w:t>
            </w:r>
            <w:r w:rsidR="009E489F" w:rsidRPr="00AB39DC">
              <w:rPr>
                <w:rFonts w:cstheme="minorHAnsi"/>
              </w:rPr>
              <w:t>n</w:t>
            </w:r>
            <w:r w:rsidRPr="00AB39DC">
              <w:rPr>
                <w:rFonts w:cstheme="minorHAnsi"/>
              </w:rPr>
              <w:t xml:space="preserve"> added with updated</w:t>
            </w:r>
          </w:p>
        </w:tc>
        <w:tc>
          <w:tcPr>
            <w:tcW w:w="3969" w:type="dxa"/>
          </w:tcPr>
          <w:p w14:paraId="77A216DF" w14:textId="77777777" w:rsidR="00163A4F" w:rsidRPr="00AB39DC" w:rsidRDefault="00163A4F" w:rsidP="00163A4F">
            <w:pPr>
              <w:pStyle w:val="MDPI21heading1"/>
              <w:rPr>
                <w:rFonts w:asciiTheme="minorHAnsi" w:hAnsiTheme="minorHAnsi" w:cstheme="minorHAnsi"/>
                <w:sz w:val="22"/>
              </w:rPr>
            </w:pPr>
            <w:r w:rsidRPr="00AB39DC">
              <w:rPr>
                <w:rFonts w:asciiTheme="minorHAnsi" w:hAnsiTheme="minorHAnsi" w:cstheme="minorHAnsi"/>
                <w:sz w:val="22"/>
              </w:rPr>
              <w:t xml:space="preserve">REFERENCES </w:t>
            </w:r>
          </w:p>
          <w:p w14:paraId="205459DB" w14:textId="77777777" w:rsidR="00163A4F" w:rsidRPr="00AB39DC" w:rsidRDefault="00163A4F" w:rsidP="00163A4F">
            <w:pPr>
              <w:pStyle w:val="MDPI71References"/>
              <w:spacing w:line="240" w:lineRule="auto"/>
              <w:rPr>
                <w:rFonts w:asciiTheme="minorHAnsi" w:hAnsiTheme="minorHAnsi" w:cstheme="minorHAnsi"/>
                <w:sz w:val="22"/>
                <w:szCs w:val="22"/>
              </w:rPr>
            </w:pPr>
            <w:proofErr w:type="spellStart"/>
            <w:r w:rsidRPr="00AB39DC">
              <w:rPr>
                <w:rFonts w:asciiTheme="minorHAnsi" w:hAnsiTheme="minorHAnsi" w:cstheme="minorHAnsi"/>
                <w:sz w:val="22"/>
                <w:szCs w:val="22"/>
              </w:rPr>
              <w:t>Insanu</w:t>
            </w:r>
            <w:proofErr w:type="spellEnd"/>
            <w:r w:rsidRPr="00AB39DC">
              <w:rPr>
                <w:rFonts w:asciiTheme="minorHAnsi" w:hAnsiTheme="minorHAnsi" w:cstheme="minorHAnsi"/>
                <w:sz w:val="22"/>
                <w:szCs w:val="22"/>
              </w:rPr>
              <w:t>, M.</w:t>
            </w:r>
            <w:proofErr w:type="gramStart"/>
            <w:r w:rsidRPr="00AB39DC">
              <w:rPr>
                <w:rFonts w:asciiTheme="minorHAnsi" w:hAnsiTheme="minorHAnsi" w:cstheme="minorHAnsi"/>
                <w:sz w:val="22"/>
                <w:szCs w:val="22"/>
              </w:rPr>
              <w:t xml:space="preserve">,  </w:t>
            </w:r>
            <w:proofErr w:type="spellStart"/>
            <w:r w:rsidRPr="00AB39DC">
              <w:rPr>
                <w:rFonts w:asciiTheme="minorHAnsi" w:hAnsiTheme="minorHAnsi" w:cstheme="minorHAnsi"/>
                <w:sz w:val="22"/>
                <w:szCs w:val="22"/>
              </w:rPr>
              <w:t>Kusmardiyani</w:t>
            </w:r>
            <w:proofErr w:type="spellEnd"/>
            <w:proofErr w:type="gramEnd"/>
            <w:r w:rsidRPr="00AB39DC">
              <w:rPr>
                <w:rFonts w:asciiTheme="minorHAnsi" w:hAnsiTheme="minorHAnsi" w:cstheme="minorHAnsi"/>
                <w:sz w:val="22"/>
                <w:szCs w:val="22"/>
              </w:rPr>
              <w:t xml:space="preserve">, S., </w:t>
            </w:r>
            <w:proofErr w:type="spellStart"/>
            <w:r w:rsidRPr="00AB39DC">
              <w:rPr>
                <w:rFonts w:asciiTheme="minorHAnsi" w:hAnsiTheme="minorHAnsi" w:cstheme="minorHAnsi"/>
                <w:sz w:val="22"/>
                <w:szCs w:val="22"/>
              </w:rPr>
              <w:t>Hartati</w:t>
            </w:r>
            <w:proofErr w:type="spellEnd"/>
            <w:r w:rsidRPr="00AB39DC">
              <w:rPr>
                <w:rFonts w:asciiTheme="minorHAnsi" w:hAnsiTheme="minorHAnsi" w:cstheme="minorHAnsi"/>
                <w:sz w:val="22"/>
                <w:szCs w:val="22"/>
              </w:rPr>
              <w:t xml:space="preserve">,  R., 2014. Recent Studies on Phytochemicals and Pharmacological Effects of </w:t>
            </w:r>
            <w:proofErr w:type="spellStart"/>
            <w:r w:rsidRPr="00AB39DC">
              <w:rPr>
                <w:rFonts w:asciiTheme="minorHAnsi" w:hAnsiTheme="minorHAnsi" w:cstheme="minorHAnsi"/>
                <w:i/>
                <w:iCs/>
                <w:sz w:val="22"/>
                <w:szCs w:val="22"/>
              </w:rPr>
              <w:t>Eleutherine</w:t>
            </w:r>
            <w:proofErr w:type="spellEnd"/>
            <w:r w:rsidRPr="00AB39DC">
              <w:rPr>
                <w:rFonts w:asciiTheme="minorHAnsi" w:hAnsiTheme="minorHAnsi" w:cstheme="minorHAnsi"/>
                <w:i/>
                <w:iCs/>
                <w:sz w:val="22"/>
                <w:szCs w:val="22"/>
              </w:rPr>
              <w:t xml:space="preserve"> americana</w:t>
            </w:r>
            <w:r w:rsidRPr="00AB39DC">
              <w:rPr>
                <w:rFonts w:asciiTheme="minorHAnsi" w:hAnsiTheme="minorHAnsi" w:cstheme="minorHAnsi"/>
                <w:sz w:val="22"/>
                <w:szCs w:val="22"/>
              </w:rPr>
              <w:t xml:space="preserve"> </w:t>
            </w:r>
            <w:proofErr w:type="spellStart"/>
            <w:r w:rsidRPr="00AB39DC">
              <w:rPr>
                <w:rFonts w:asciiTheme="minorHAnsi" w:hAnsiTheme="minorHAnsi" w:cstheme="minorHAnsi"/>
                <w:sz w:val="22"/>
                <w:szCs w:val="22"/>
              </w:rPr>
              <w:t>Merr</w:t>
            </w:r>
            <w:proofErr w:type="spellEnd"/>
            <w:r w:rsidRPr="00AB39DC">
              <w:rPr>
                <w:rFonts w:asciiTheme="minorHAnsi" w:hAnsiTheme="minorHAnsi" w:cstheme="minorHAnsi"/>
                <w:sz w:val="22"/>
                <w:szCs w:val="22"/>
              </w:rPr>
              <w:t xml:space="preserve">., </w:t>
            </w:r>
            <w:r w:rsidRPr="00AB39DC">
              <w:rPr>
                <w:rFonts w:asciiTheme="minorHAnsi" w:hAnsiTheme="minorHAnsi" w:cstheme="minorHAnsi"/>
                <w:i/>
                <w:iCs/>
                <w:sz w:val="22"/>
                <w:szCs w:val="22"/>
              </w:rPr>
              <w:t>Procedia Chem</w:t>
            </w:r>
            <w:r w:rsidRPr="00AB39DC">
              <w:rPr>
                <w:rFonts w:asciiTheme="minorHAnsi" w:hAnsiTheme="minorHAnsi" w:cstheme="minorHAnsi"/>
                <w:sz w:val="22"/>
                <w:szCs w:val="22"/>
              </w:rPr>
              <w:t>., 13, 221-228.</w:t>
            </w:r>
          </w:p>
          <w:p w14:paraId="5F07EF50" w14:textId="6F3F8A8C" w:rsidR="00163A4F" w:rsidRPr="00AB39DC" w:rsidRDefault="00995F78" w:rsidP="00163A4F">
            <w:pPr>
              <w:pStyle w:val="MDPI71References"/>
              <w:spacing w:line="240" w:lineRule="auto"/>
              <w:rPr>
                <w:rFonts w:asciiTheme="minorHAnsi" w:hAnsiTheme="minorHAnsi" w:cstheme="minorHAnsi"/>
                <w:sz w:val="22"/>
                <w:szCs w:val="22"/>
                <w:highlight w:val="green"/>
              </w:rPr>
            </w:pPr>
            <w:proofErr w:type="spellStart"/>
            <w:r w:rsidRPr="00AB39DC">
              <w:rPr>
                <w:rFonts w:asciiTheme="minorHAnsi" w:hAnsiTheme="minorHAnsi" w:cstheme="minorHAnsi"/>
                <w:sz w:val="22"/>
                <w:szCs w:val="22"/>
                <w:highlight w:val="green"/>
              </w:rPr>
              <w:t>Kuntorini</w:t>
            </w:r>
            <w:proofErr w:type="spellEnd"/>
            <w:r w:rsidRPr="00AB39DC">
              <w:rPr>
                <w:rFonts w:asciiTheme="minorHAnsi" w:hAnsiTheme="minorHAnsi" w:cstheme="minorHAnsi"/>
                <w:sz w:val="22"/>
                <w:szCs w:val="22"/>
                <w:highlight w:val="green"/>
              </w:rPr>
              <w:t xml:space="preserve">, E.M., </w:t>
            </w:r>
            <w:proofErr w:type="spellStart"/>
            <w:r w:rsidRPr="00AB39DC">
              <w:rPr>
                <w:rFonts w:asciiTheme="minorHAnsi" w:hAnsiTheme="minorHAnsi" w:cstheme="minorHAnsi"/>
                <w:sz w:val="22"/>
                <w:szCs w:val="22"/>
                <w:highlight w:val="green"/>
              </w:rPr>
              <w:t>Misrina</w:t>
            </w:r>
            <w:proofErr w:type="spellEnd"/>
            <w:r w:rsidR="00163A4F" w:rsidRPr="00AB39DC">
              <w:rPr>
                <w:rFonts w:asciiTheme="minorHAnsi" w:hAnsiTheme="minorHAnsi" w:cstheme="minorHAnsi"/>
                <w:sz w:val="22"/>
                <w:szCs w:val="22"/>
                <w:highlight w:val="green"/>
              </w:rPr>
              <w:t>.</w:t>
            </w:r>
            <w:r w:rsidRPr="00AB39DC">
              <w:rPr>
                <w:rFonts w:asciiTheme="minorHAnsi" w:hAnsiTheme="minorHAnsi" w:cstheme="minorHAnsi"/>
                <w:sz w:val="22"/>
                <w:szCs w:val="22"/>
                <w:highlight w:val="green"/>
              </w:rPr>
              <w:t xml:space="preserve"> M.D.</w:t>
            </w:r>
            <w:r w:rsidR="00163A4F" w:rsidRPr="00AB39DC">
              <w:rPr>
                <w:rFonts w:asciiTheme="minorHAnsi" w:hAnsiTheme="minorHAnsi" w:cstheme="minorHAnsi"/>
                <w:sz w:val="22"/>
                <w:szCs w:val="22"/>
                <w:highlight w:val="green"/>
              </w:rPr>
              <w:t>, 20</w:t>
            </w:r>
            <w:r w:rsidRPr="00AB39DC">
              <w:rPr>
                <w:rFonts w:asciiTheme="minorHAnsi" w:hAnsiTheme="minorHAnsi" w:cstheme="minorHAnsi"/>
                <w:sz w:val="22"/>
                <w:szCs w:val="22"/>
                <w:highlight w:val="green"/>
              </w:rPr>
              <w:t>1</w:t>
            </w:r>
            <w:r w:rsidR="00163A4F" w:rsidRPr="00AB39DC">
              <w:rPr>
                <w:rFonts w:asciiTheme="minorHAnsi" w:hAnsiTheme="minorHAnsi" w:cstheme="minorHAnsi"/>
                <w:sz w:val="22"/>
                <w:szCs w:val="22"/>
                <w:highlight w:val="green"/>
              </w:rPr>
              <w:t xml:space="preserve">6. </w:t>
            </w:r>
            <w:r w:rsidRPr="00AB39DC">
              <w:rPr>
                <w:rFonts w:asciiTheme="minorHAnsi" w:hAnsiTheme="minorHAnsi" w:cstheme="minorHAnsi"/>
                <w:sz w:val="22"/>
                <w:szCs w:val="22"/>
                <w:highlight w:val="green"/>
              </w:rPr>
              <w:t>Anatomical structure and antioxidant activity of red bulb plant (</w:t>
            </w:r>
            <w:proofErr w:type="spellStart"/>
            <w:r w:rsidRPr="00AB39DC">
              <w:rPr>
                <w:rFonts w:asciiTheme="minorHAnsi" w:hAnsiTheme="minorHAnsi" w:cstheme="minorHAnsi"/>
                <w:sz w:val="22"/>
                <w:szCs w:val="22"/>
                <w:highlight w:val="green"/>
              </w:rPr>
              <w:t>Eleutherine</w:t>
            </w:r>
            <w:proofErr w:type="spellEnd"/>
            <w:r w:rsidRPr="00AB39DC">
              <w:rPr>
                <w:rFonts w:asciiTheme="minorHAnsi" w:hAnsiTheme="minorHAnsi" w:cstheme="minorHAnsi"/>
                <w:sz w:val="22"/>
                <w:szCs w:val="22"/>
                <w:highlight w:val="green"/>
              </w:rPr>
              <w:t xml:space="preserve"> americana) on different plant age</w:t>
            </w:r>
            <w:r w:rsidR="00163A4F" w:rsidRPr="00AB39DC">
              <w:rPr>
                <w:rFonts w:asciiTheme="minorHAnsi" w:hAnsiTheme="minorHAnsi" w:cstheme="minorHAnsi"/>
                <w:sz w:val="22"/>
                <w:szCs w:val="22"/>
                <w:highlight w:val="green"/>
              </w:rPr>
              <w:t xml:space="preserve">, </w:t>
            </w:r>
            <w:proofErr w:type="spellStart"/>
            <w:r w:rsidRPr="00AB39DC">
              <w:rPr>
                <w:rFonts w:asciiTheme="minorHAnsi" w:hAnsiTheme="minorHAnsi" w:cstheme="minorHAnsi"/>
                <w:i/>
                <w:iCs/>
                <w:sz w:val="22"/>
                <w:szCs w:val="22"/>
                <w:highlight w:val="green"/>
              </w:rPr>
              <w:t>Biodiversitas</w:t>
            </w:r>
            <w:proofErr w:type="spellEnd"/>
            <w:r w:rsidR="00163A4F" w:rsidRPr="00AB39DC">
              <w:rPr>
                <w:rFonts w:asciiTheme="minorHAnsi" w:hAnsiTheme="minorHAnsi" w:cstheme="minorHAnsi"/>
                <w:sz w:val="22"/>
                <w:szCs w:val="22"/>
                <w:highlight w:val="green"/>
              </w:rPr>
              <w:t xml:space="preserve">., </w:t>
            </w:r>
            <w:r w:rsidRPr="00AB39DC">
              <w:rPr>
                <w:rFonts w:asciiTheme="minorHAnsi" w:hAnsiTheme="minorHAnsi" w:cstheme="minorHAnsi"/>
                <w:sz w:val="22"/>
                <w:szCs w:val="22"/>
                <w:highlight w:val="green"/>
              </w:rPr>
              <w:t>17</w:t>
            </w:r>
            <w:r w:rsidR="00163A4F" w:rsidRPr="00AB39DC">
              <w:rPr>
                <w:rFonts w:asciiTheme="minorHAnsi" w:hAnsiTheme="minorHAnsi" w:cstheme="minorHAnsi"/>
                <w:sz w:val="22"/>
                <w:szCs w:val="22"/>
                <w:highlight w:val="green"/>
              </w:rPr>
              <w:t xml:space="preserve">(1), </w:t>
            </w:r>
            <w:r w:rsidRPr="00AB39DC">
              <w:rPr>
                <w:rFonts w:asciiTheme="minorHAnsi" w:hAnsiTheme="minorHAnsi" w:cstheme="minorHAnsi"/>
                <w:sz w:val="22"/>
                <w:szCs w:val="22"/>
                <w:highlight w:val="green"/>
              </w:rPr>
              <w:t>229-233</w:t>
            </w:r>
            <w:r w:rsidR="00163A4F" w:rsidRPr="00AB39DC">
              <w:rPr>
                <w:rFonts w:asciiTheme="minorHAnsi" w:hAnsiTheme="minorHAnsi" w:cstheme="minorHAnsi"/>
                <w:sz w:val="22"/>
                <w:szCs w:val="22"/>
                <w:highlight w:val="green"/>
              </w:rPr>
              <w:t xml:space="preserve">. </w:t>
            </w:r>
          </w:p>
          <w:p w14:paraId="4E74B836" w14:textId="77777777" w:rsidR="00163A4F" w:rsidRPr="00AB39DC" w:rsidRDefault="00163A4F" w:rsidP="00163A4F">
            <w:pPr>
              <w:pStyle w:val="MDPI71References"/>
              <w:spacing w:line="240" w:lineRule="auto"/>
              <w:rPr>
                <w:rFonts w:asciiTheme="minorHAnsi" w:hAnsiTheme="minorHAnsi" w:cstheme="minorHAnsi"/>
                <w:color w:val="auto"/>
                <w:sz w:val="22"/>
                <w:szCs w:val="22"/>
              </w:rPr>
            </w:pPr>
            <w:r w:rsidRPr="00AB39DC">
              <w:rPr>
                <w:rFonts w:asciiTheme="minorHAnsi" w:hAnsiTheme="minorHAnsi" w:cstheme="minorHAnsi"/>
                <w:color w:val="auto"/>
                <w:sz w:val="22"/>
                <w:szCs w:val="22"/>
              </w:rPr>
              <w:t xml:space="preserve">M. </w:t>
            </w:r>
            <w:proofErr w:type="spellStart"/>
            <w:r w:rsidRPr="00AB39DC">
              <w:rPr>
                <w:rFonts w:asciiTheme="minorHAnsi" w:hAnsiTheme="minorHAnsi" w:cstheme="minorHAnsi"/>
                <w:color w:val="auto"/>
                <w:sz w:val="22"/>
                <w:szCs w:val="22"/>
              </w:rPr>
              <w:t>Malmir</w:t>
            </w:r>
            <w:proofErr w:type="spellEnd"/>
            <w:r w:rsidRPr="00AB39DC">
              <w:rPr>
                <w:rFonts w:asciiTheme="minorHAnsi" w:hAnsiTheme="minorHAnsi" w:cstheme="minorHAnsi"/>
                <w:color w:val="auto"/>
                <w:sz w:val="22"/>
                <w:szCs w:val="22"/>
              </w:rPr>
              <w:t xml:space="preserve">, R. Serrano, O. Silvia, 2017, </w:t>
            </w:r>
            <w:r w:rsidRPr="00AB39DC">
              <w:rPr>
                <w:rFonts w:asciiTheme="minorHAnsi" w:hAnsiTheme="minorHAnsi" w:cstheme="minorHAnsi"/>
                <w:i/>
                <w:iCs/>
                <w:color w:val="auto"/>
                <w:sz w:val="22"/>
                <w:szCs w:val="22"/>
              </w:rPr>
              <w:t xml:space="preserve">Antimicrobial Research: Novel </w:t>
            </w:r>
            <w:proofErr w:type="spellStart"/>
            <w:r w:rsidRPr="00AB39DC">
              <w:rPr>
                <w:rFonts w:asciiTheme="minorHAnsi" w:hAnsiTheme="minorHAnsi" w:cstheme="minorHAnsi"/>
                <w:i/>
                <w:iCs/>
                <w:color w:val="auto"/>
                <w:sz w:val="22"/>
                <w:szCs w:val="22"/>
              </w:rPr>
              <w:t>Bioknowledge</w:t>
            </w:r>
            <w:proofErr w:type="spellEnd"/>
            <w:r w:rsidRPr="00AB39DC">
              <w:rPr>
                <w:rFonts w:asciiTheme="minorHAnsi" w:hAnsiTheme="minorHAnsi" w:cstheme="minorHAnsi"/>
                <w:i/>
                <w:iCs/>
                <w:color w:val="auto"/>
                <w:sz w:val="22"/>
                <w:szCs w:val="22"/>
              </w:rPr>
              <w:t xml:space="preserve"> and Educational Programs</w:t>
            </w:r>
            <w:r w:rsidRPr="00AB39DC">
              <w:rPr>
                <w:rFonts w:asciiTheme="minorHAnsi" w:hAnsiTheme="minorHAnsi" w:cstheme="minorHAnsi"/>
                <w:color w:val="auto"/>
                <w:sz w:val="22"/>
                <w:szCs w:val="22"/>
              </w:rPr>
              <w:t xml:space="preserve">, </w:t>
            </w:r>
            <w:proofErr w:type="spellStart"/>
            <w:r w:rsidRPr="00AB39DC">
              <w:rPr>
                <w:rFonts w:asciiTheme="minorHAnsi" w:hAnsiTheme="minorHAnsi" w:cstheme="minorHAnsi"/>
                <w:color w:val="auto"/>
                <w:sz w:val="22"/>
                <w:szCs w:val="22"/>
              </w:rPr>
              <w:t>Formatex</w:t>
            </w:r>
            <w:proofErr w:type="spellEnd"/>
            <w:r w:rsidRPr="00AB39DC">
              <w:rPr>
                <w:rFonts w:asciiTheme="minorHAnsi" w:hAnsiTheme="minorHAnsi" w:cstheme="minorHAnsi"/>
                <w:color w:val="auto"/>
                <w:sz w:val="22"/>
                <w:szCs w:val="22"/>
              </w:rPr>
              <w:t xml:space="preserve"> Research Center, Badajoz. </w:t>
            </w:r>
          </w:p>
          <w:p w14:paraId="6ECBDBE3" w14:textId="1DD918F6" w:rsidR="00163A4F" w:rsidRPr="00AB39DC" w:rsidRDefault="00C1090A" w:rsidP="00163A4F">
            <w:pPr>
              <w:pStyle w:val="MDPI71References"/>
              <w:spacing w:line="240" w:lineRule="auto"/>
              <w:rPr>
                <w:rFonts w:asciiTheme="minorHAnsi" w:hAnsiTheme="minorHAnsi" w:cstheme="minorHAnsi"/>
                <w:sz w:val="22"/>
                <w:szCs w:val="22"/>
                <w:highlight w:val="green"/>
              </w:rPr>
            </w:pPr>
            <w:proofErr w:type="spellStart"/>
            <w:r w:rsidRPr="00AB39DC">
              <w:rPr>
                <w:rFonts w:asciiTheme="minorHAnsi" w:hAnsiTheme="minorHAnsi" w:cstheme="minorHAnsi"/>
                <w:sz w:val="22"/>
                <w:szCs w:val="22"/>
                <w:highlight w:val="green"/>
              </w:rPr>
              <w:t>Yusiasih</w:t>
            </w:r>
            <w:proofErr w:type="spellEnd"/>
            <w:r w:rsidRPr="00AB39DC">
              <w:rPr>
                <w:rFonts w:asciiTheme="minorHAnsi" w:hAnsiTheme="minorHAnsi" w:cstheme="minorHAnsi"/>
                <w:sz w:val="22"/>
                <w:szCs w:val="22"/>
                <w:highlight w:val="green"/>
              </w:rPr>
              <w:t xml:space="preserve">, R., </w:t>
            </w:r>
            <w:proofErr w:type="spellStart"/>
            <w:r w:rsidRPr="00AB39DC">
              <w:rPr>
                <w:rFonts w:asciiTheme="minorHAnsi" w:hAnsiTheme="minorHAnsi" w:cstheme="minorHAnsi"/>
                <w:sz w:val="22"/>
                <w:szCs w:val="22"/>
                <w:highlight w:val="green"/>
              </w:rPr>
              <w:t>Pitoi</w:t>
            </w:r>
            <w:proofErr w:type="spellEnd"/>
            <w:r w:rsidRPr="00AB39DC">
              <w:rPr>
                <w:rFonts w:asciiTheme="minorHAnsi" w:hAnsiTheme="minorHAnsi" w:cstheme="minorHAnsi"/>
                <w:sz w:val="22"/>
                <w:szCs w:val="22"/>
                <w:highlight w:val="green"/>
              </w:rPr>
              <w:t>, M.M.</w:t>
            </w:r>
            <w:r w:rsidR="00163A4F" w:rsidRPr="00AB39DC">
              <w:rPr>
                <w:rFonts w:asciiTheme="minorHAnsi" w:hAnsiTheme="minorHAnsi" w:cstheme="minorHAnsi"/>
                <w:sz w:val="22"/>
                <w:szCs w:val="22"/>
                <w:highlight w:val="green"/>
              </w:rPr>
              <w:t>,</w:t>
            </w:r>
            <w:r w:rsidRPr="00AB39DC">
              <w:rPr>
                <w:rFonts w:asciiTheme="minorHAnsi" w:hAnsiTheme="minorHAnsi" w:cstheme="minorHAnsi"/>
                <w:sz w:val="22"/>
                <w:szCs w:val="22"/>
                <w:highlight w:val="green"/>
              </w:rPr>
              <w:t xml:space="preserve"> </w:t>
            </w:r>
            <w:proofErr w:type="spellStart"/>
            <w:r w:rsidRPr="00AB39DC">
              <w:rPr>
                <w:rFonts w:asciiTheme="minorHAnsi" w:hAnsiTheme="minorHAnsi" w:cstheme="minorHAnsi"/>
                <w:sz w:val="22"/>
                <w:szCs w:val="22"/>
                <w:highlight w:val="green"/>
              </w:rPr>
              <w:t>Ariyani</w:t>
            </w:r>
            <w:proofErr w:type="spellEnd"/>
            <w:r w:rsidRPr="00AB39DC">
              <w:rPr>
                <w:rFonts w:asciiTheme="minorHAnsi" w:hAnsiTheme="minorHAnsi" w:cstheme="minorHAnsi"/>
                <w:sz w:val="22"/>
                <w:szCs w:val="22"/>
                <w:highlight w:val="green"/>
              </w:rPr>
              <w:t xml:space="preserve">, M., </w:t>
            </w:r>
            <w:proofErr w:type="spellStart"/>
            <w:r w:rsidRPr="00AB39DC">
              <w:rPr>
                <w:rFonts w:asciiTheme="minorHAnsi" w:hAnsiTheme="minorHAnsi" w:cstheme="minorHAnsi"/>
                <w:sz w:val="22"/>
                <w:szCs w:val="22"/>
                <w:highlight w:val="green"/>
              </w:rPr>
              <w:t>Koesmawati</w:t>
            </w:r>
            <w:proofErr w:type="spellEnd"/>
            <w:r w:rsidRPr="00AB39DC">
              <w:rPr>
                <w:rFonts w:asciiTheme="minorHAnsi" w:hAnsiTheme="minorHAnsi" w:cstheme="minorHAnsi"/>
                <w:sz w:val="22"/>
                <w:szCs w:val="22"/>
                <w:highlight w:val="green"/>
              </w:rPr>
              <w:t>, T.A., Maulana, H., 2019,</w:t>
            </w:r>
            <w:r w:rsidR="00163A4F" w:rsidRPr="00AB39DC">
              <w:rPr>
                <w:rFonts w:asciiTheme="minorHAnsi" w:hAnsiTheme="minorHAnsi" w:cstheme="minorHAnsi"/>
                <w:sz w:val="22"/>
                <w:szCs w:val="22"/>
                <w:highlight w:val="green"/>
              </w:rPr>
              <w:t xml:space="preserve"> </w:t>
            </w:r>
            <w:r w:rsidRPr="00AB39DC">
              <w:rPr>
                <w:rFonts w:asciiTheme="minorHAnsi" w:hAnsiTheme="minorHAnsi" w:cstheme="minorHAnsi"/>
                <w:i/>
                <w:iCs/>
                <w:sz w:val="22"/>
                <w:szCs w:val="22"/>
                <w:highlight w:val="green"/>
              </w:rPr>
              <w:t>Anthraquinone in Indonesia infusion tea: analysis by HPLC-UV and risk assessment</w:t>
            </w:r>
            <w:r w:rsidR="00163A4F" w:rsidRPr="00AB39DC">
              <w:rPr>
                <w:rFonts w:asciiTheme="minorHAnsi" w:hAnsiTheme="minorHAnsi" w:cstheme="minorHAnsi"/>
                <w:sz w:val="22"/>
                <w:szCs w:val="22"/>
                <w:highlight w:val="green"/>
              </w:rPr>
              <w:t xml:space="preserve">., </w:t>
            </w:r>
            <w:r w:rsidRPr="00AB39DC">
              <w:rPr>
                <w:rFonts w:asciiTheme="minorHAnsi" w:hAnsiTheme="minorHAnsi" w:cstheme="minorHAnsi"/>
                <w:sz w:val="22"/>
                <w:szCs w:val="22"/>
                <w:highlight w:val="green"/>
              </w:rPr>
              <w:t>6(19</w:t>
            </w:r>
            <w:r w:rsidR="00163A4F" w:rsidRPr="00AB39DC">
              <w:rPr>
                <w:rFonts w:asciiTheme="minorHAnsi" w:hAnsiTheme="minorHAnsi" w:cstheme="minorHAnsi"/>
                <w:sz w:val="22"/>
                <w:szCs w:val="22"/>
                <w:highlight w:val="green"/>
              </w:rPr>
              <w:t xml:space="preserve">), </w:t>
            </w:r>
            <w:r w:rsidRPr="00AB39DC">
              <w:rPr>
                <w:rFonts w:asciiTheme="minorHAnsi" w:hAnsiTheme="minorHAnsi" w:cstheme="minorHAnsi"/>
                <w:sz w:val="22"/>
                <w:szCs w:val="22"/>
                <w:highlight w:val="green"/>
              </w:rPr>
              <w:t>1-9.</w:t>
            </w:r>
            <w:r w:rsidR="00163A4F" w:rsidRPr="00AB39DC">
              <w:rPr>
                <w:rFonts w:asciiTheme="minorHAnsi" w:hAnsiTheme="minorHAnsi" w:cstheme="minorHAnsi"/>
                <w:sz w:val="22"/>
                <w:szCs w:val="22"/>
                <w:highlight w:val="green"/>
              </w:rPr>
              <w:t xml:space="preserve"> </w:t>
            </w:r>
          </w:p>
          <w:p w14:paraId="1DBF7F5D" w14:textId="77777777" w:rsidR="00163A4F" w:rsidRPr="00AB39DC" w:rsidRDefault="00163A4F" w:rsidP="00163A4F">
            <w:pPr>
              <w:pStyle w:val="MDPI71References"/>
              <w:spacing w:line="240" w:lineRule="auto"/>
              <w:rPr>
                <w:rFonts w:asciiTheme="minorHAnsi" w:hAnsiTheme="minorHAnsi" w:cstheme="minorHAnsi"/>
                <w:sz w:val="22"/>
                <w:szCs w:val="22"/>
              </w:rPr>
            </w:pPr>
            <w:r w:rsidRPr="00AB39DC">
              <w:rPr>
                <w:rFonts w:asciiTheme="minorHAnsi" w:hAnsiTheme="minorHAnsi" w:cstheme="minorHAnsi"/>
                <w:sz w:val="22"/>
                <w:szCs w:val="22"/>
              </w:rPr>
              <w:t xml:space="preserve">European Food Safety Authority, 2012. Reasoned Opinion on the </w:t>
            </w:r>
            <w:r w:rsidRPr="00AB39DC">
              <w:rPr>
                <w:rFonts w:asciiTheme="minorHAnsi" w:hAnsiTheme="minorHAnsi" w:cstheme="minorHAnsi"/>
                <w:sz w:val="22"/>
                <w:szCs w:val="22"/>
              </w:rPr>
              <w:lastRenderedPageBreak/>
              <w:t xml:space="preserve">Review of Existing Maximum Residue Levels (MRLs) for Anthraquinone According to Article 12 of Regulation (EC) No 396/2005, </w:t>
            </w:r>
            <w:r w:rsidRPr="00AB39DC">
              <w:rPr>
                <w:rFonts w:asciiTheme="minorHAnsi" w:hAnsiTheme="minorHAnsi" w:cstheme="minorHAnsi"/>
                <w:i/>
                <w:iCs/>
                <w:sz w:val="22"/>
                <w:szCs w:val="22"/>
              </w:rPr>
              <w:t>EFSA Journal</w:t>
            </w:r>
            <w:r w:rsidRPr="00AB39DC">
              <w:rPr>
                <w:rFonts w:asciiTheme="minorHAnsi" w:hAnsiTheme="minorHAnsi" w:cstheme="minorHAnsi"/>
                <w:sz w:val="22"/>
                <w:szCs w:val="22"/>
              </w:rPr>
              <w:t xml:space="preserve">, 10(6), 2761. </w:t>
            </w:r>
          </w:p>
          <w:p w14:paraId="5685DBD7" w14:textId="77777777" w:rsidR="00163A4F" w:rsidRPr="00AB39DC" w:rsidRDefault="00163A4F" w:rsidP="00163A4F">
            <w:pPr>
              <w:pStyle w:val="MDPI71References"/>
              <w:spacing w:line="240" w:lineRule="auto"/>
              <w:rPr>
                <w:rFonts w:asciiTheme="minorHAnsi" w:hAnsiTheme="minorHAnsi" w:cstheme="minorHAnsi"/>
                <w:sz w:val="22"/>
                <w:szCs w:val="22"/>
              </w:rPr>
            </w:pPr>
            <w:proofErr w:type="spellStart"/>
            <w:r w:rsidRPr="00AB39DC">
              <w:rPr>
                <w:rFonts w:asciiTheme="minorHAnsi" w:hAnsiTheme="minorHAnsi" w:cstheme="minorHAnsi"/>
                <w:sz w:val="22"/>
                <w:szCs w:val="22"/>
              </w:rPr>
              <w:t>Deliberto</w:t>
            </w:r>
            <w:proofErr w:type="spellEnd"/>
            <w:r w:rsidRPr="00AB39DC">
              <w:rPr>
                <w:rFonts w:asciiTheme="minorHAnsi" w:hAnsiTheme="minorHAnsi" w:cstheme="minorHAnsi"/>
                <w:sz w:val="22"/>
                <w:szCs w:val="22"/>
              </w:rPr>
              <w:t xml:space="preserve">, S.T., Werner, S.J., 2016. Review on Anthraquinone for Pest Management and Agricultural Crop Protection, </w:t>
            </w:r>
            <w:r w:rsidRPr="00AB39DC">
              <w:rPr>
                <w:rFonts w:asciiTheme="minorHAnsi" w:hAnsiTheme="minorHAnsi" w:cstheme="minorHAnsi"/>
                <w:i/>
                <w:iCs/>
                <w:sz w:val="22"/>
                <w:szCs w:val="22"/>
              </w:rPr>
              <w:t>Pest Management Sci</w:t>
            </w:r>
            <w:r w:rsidRPr="00AB39DC">
              <w:rPr>
                <w:rFonts w:asciiTheme="minorHAnsi" w:hAnsiTheme="minorHAnsi" w:cstheme="minorHAnsi"/>
                <w:sz w:val="22"/>
                <w:szCs w:val="22"/>
              </w:rPr>
              <w:t xml:space="preserve">., 72(10), 1813-1825. </w:t>
            </w:r>
          </w:p>
          <w:p w14:paraId="684FA4C4" w14:textId="77777777" w:rsidR="00163A4F" w:rsidRPr="00AB39DC" w:rsidRDefault="00163A4F" w:rsidP="00163A4F">
            <w:pPr>
              <w:pStyle w:val="MDPI71References"/>
              <w:spacing w:line="240" w:lineRule="auto"/>
              <w:rPr>
                <w:rFonts w:asciiTheme="minorHAnsi" w:hAnsiTheme="minorHAnsi" w:cstheme="minorHAnsi"/>
                <w:sz w:val="22"/>
                <w:szCs w:val="22"/>
              </w:rPr>
            </w:pPr>
            <w:proofErr w:type="spellStart"/>
            <w:r w:rsidRPr="00AB39DC">
              <w:rPr>
                <w:rFonts w:asciiTheme="minorHAnsi" w:hAnsiTheme="minorHAnsi" w:cstheme="minorHAnsi"/>
                <w:sz w:val="22"/>
                <w:szCs w:val="22"/>
              </w:rPr>
              <w:t>Bahtiar</w:t>
            </w:r>
            <w:proofErr w:type="spellEnd"/>
            <w:r w:rsidRPr="00AB39DC">
              <w:rPr>
                <w:rFonts w:asciiTheme="minorHAnsi" w:hAnsiTheme="minorHAnsi" w:cstheme="minorHAnsi"/>
                <w:sz w:val="22"/>
                <w:szCs w:val="22"/>
              </w:rPr>
              <w:t xml:space="preserve">, A., </w:t>
            </w:r>
            <w:proofErr w:type="spellStart"/>
            <w:r w:rsidRPr="00AB39DC">
              <w:rPr>
                <w:rFonts w:asciiTheme="minorHAnsi" w:hAnsiTheme="minorHAnsi" w:cstheme="minorHAnsi"/>
                <w:sz w:val="22"/>
                <w:szCs w:val="22"/>
              </w:rPr>
              <w:t>Chumala</w:t>
            </w:r>
            <w:proofErr w:type="spellEnd"/>
            <w:r w:rsidRPr="00AB39DC">
              <w:rPr>
                <w:rFonts w:asciiTheme="minorHAnsi" w:hAnsiTheme="minorHAnsi" w:cstheme="minorHAnsi"/>
                <w:sz w:val="22"/>
                <w:szCs w:val="22"/>
              </w:rPr>
              <w:t>, D.Y., 2018. Dayak Onions (</w:t>
            </w:r>
            <w:proofErr w:type="spellStart"/>
            <w:r w:rsidRPr="00AB39DC">
              <w:rPr>
                <w:rFonts w:asciiTheme="minorHAnsi" w:hAnsiTheme="minorHAnsi" w:cstheme="minorHAnsi"/>
                <w:i/>
                <w:iCs/>
                <w:sz w:val="22"/>
                <w:szCs w:val="22"/>
              </w:rPr>
              <w:t>Eleutherine</w:t>
            </w:r>
            <w:proofErr w:type="spellEnd"/>
            <w:r w:rsidRPr="00AB39DC">
              <w:rPr>
                <w:rFonts w:asciiTheme="minorHAnsi" w:hAnsiTheme="minorHAnsi" w:cstheme="minorHAnsi"/>
                <w:i/>
                <w:iCs/>
                <w:sz w:val="22"/>
                <w:szCs w:val="22"/>
              </w:rPr>
              <w:t xml:space="preserve"> bulbosa</w:t>
            </w:r>
            <w:r w:rsidRPr="00AB39DC">
              <w:rPr>
                <w:rFonts w:asciiTheme="minorHAnsi" w:hAnsiTheme="minorHAnsi" w:cstheme="minorHAnsi"/>
                <w:sz w:val="22"/>
                <w:szCs w:val="22"/>
              </w:rPr>
              <w:t xml:space="preserve"> (Mill.) Urb.) Bulbs Extracts Reduces Blood Pressure of </w:t>
            </w:r>
            <w:proofErr w:type="spellStart"/>
            <w:r w:rsidRPr="00AB39DC">
              <w:rPr>
                <w:rFonts w:asciiTheme="minorHAnsi" w:hAnsiTheme="minorHAnsi" w:cstheme="minorHAnsi"/>
                <w:sz w:val="22"/>
                <w:szCs w:val="22"/>
              </w:rPr>
              <w:t>Hypoestrogen</w:t>
            </w:r>
            <w:proofErr w:type="spellEnd"/>
            <w:r w:rsidRPr="00AB39DC">
              <w:rPr>
                <w:rFonts w:asciiTheme="minorHAnsi" w:hAnsiTheme="minorHAnsi" w:cstheme="minorHAnsi"/>
                <w:sz w:val="22"/>
                <w:szCs w:val="22"/>
              </w:rPr>
              <w:t xml:space="preserve"> Model Rats by Controlling Lipids </w:t>
            </w:r>
            <w:r w:rsidRPr="00AB39DC">
              <w:rPr>
                <w:rFonts w:asciiTheme="minorHAnsi" w:hAnsiTheme="minorHAnsi" w:cstheme="minorHAnsi"/>
                <w:i/>
                <w:iCs/>
                <w:sz w:val="22"/>
                <w:szCs w:val="22"/>
              </w:rPr>
              <w:t xml:space="preserve">Profile, Int. J. </w:t>
            </w:r>
            <w:proofErr w:type="spellStart"/>
            <w:r w:rsidRPr="00AB39DC">
              <w:rPr>
                <w:rFonts w:asciiTheme="minorHAnsi" w:hAnsiTheme="minorHAnsi" w:cstheme="minorHAnsi"/>
                <w:i/>
                <w:iCs/>
                <w:sz w:val="22"/>
                <w:szCs w:val="22"/>
              </w:rPr>
              <w:t>Morphol</w:t>
            </w:r>
            <w:proofErr w:type="spellEnd"/>
            <w:r w:rsidRPr="00AB39DC">
              <w:rPr>
                <w:rFonts w:asciiTheme="minorHAnsi" w:hAnsiTheme="minorHAnsi" w:cstheme="minorHAnsi"/>
                <w:sz w:val="22"/>
                <w:szCs w:val="22"/>
              </w:rPr>
              <w:t xml:space="preserve">., 36(3),1016-1021. </w:t>
            </w:r>
          </w:p>
          <w:p w14:paraId="5270CEFD" w14:textId="77777777" w:rsidR="00163A4F" w:rsidRPr="00AB39DC" w:rsidRDefault="00163A4F" w:rsidP="00163A4F">
            <w:pPr>
              <w:pStyle w:val="MDPI71References"/>
              <w:spacing w:line="240" w:lineRule="auto"/>
              <w:rPr>
                <w:rFonts w:asciiTheme="minorHAnsi" w:hAnsiTheme="minorHAnsi" w:cstheme="minorHAnsi"/>
                <w:sz w:val="22"/>
                <w:szCs w:val="22"/>
              </w:rPr>
            </w:pPr>
            <w:r w:rsidRPr="00AB39DC">
              <w:rPr>
                <w:rFonts w:asciiTheme="minorHAnsi" w:hAnsiTheme="minorHAnsi" w:cstheme="minorHAnsi"/>
                <w:sz w:val="22"/>
                <w:szCs w:val="22"/>
              </w:rPr>
              <w:t xml:space="preserve">Rani, V.S., Nair, B.R., 2015. </w:t>
            </w:r>
            <w:proofErr w:type="spellStart"/>
            <w:r w:rsidRPr="00AB39DC">
              <w:rPr>
                <w:rFonts w:asciiTheme="minorHAnsi" w:hAnsiTheme="minorHAnsi" w:cstheme="minorHAnsi"/>
                <w:sz w:val="22"/>
                <w:szCs w:val="22"/>
              </w:rPr>
              <w:t>Pharmacognostic</w:t>
            </w:r>
            <w:proofErr w:type="spellEnd"/>
            <w:r w:rsidRPr="00AB39DC">
              <w:rPr>
                <w:rFonts w:asciiTheme="minorHAnsi" w:hAnsiTheme="minorHAnsi" w:cstheme="minorHAnsi"/>
                <w:sz w:val="22"/>
                <w:szCs w:val="22"/>
              </w:rPr>
              <w:t xml:space="preserve"> and Physiochemical Evaluation of Bulbs of </w:t>
            </w:r>
            <w:proofErr w:type="spellStart"/>
            <w:r w:rsidRPr="00AB39DC">
              <w:rPr>
                <w:rFonts w:asciiTheme="minorHAnsi" w:hAnsiTheme="minorHAnsi" w:cstheme="minorHAnsi"/>
                <w:i/>
                <w:iCs/>
                <w:sz w:val="22"/>
                <w:szCs w:val="22"/>
              </w:rPr>
              <w:t>Eleutherine</w:t>
            </w:r>
            <w:proofErr w:type="spellEnd"/>
            <w:r w:rsidRPr="00AB39DC">
              <w:rPr>
                <w:rFonts w:asciiTheme="minorHAnsi" w:hAnsiTheme="minorHAnsi" w:cstheme="minorHAnsi"/>
                <w:i/>
                <w:iCs/>
                <w:sz w:val="22"/>
                <w:szCs w:val="22"/>
              </w:rPr>
              <w:t xml:space="preserve"> bulbosa</w:t>
            </w:r>
            <w:r w:rsidRPr="00AB39DC">
              <w:rPr>
                <w:rFonts w:asciiTheme="minorHAnsi" w:hAnsiTheme="minorHAnsi" w:cstheme="minorHAnsi"/>
                <w:sz w:val="22"/>
                <w:szCs w:val="22"/>
              </w:rPr>
              <w:t xml:space="preserve"> (Miller) Urban, a Medicinal Plant, </w:t>
            </w:r>
            <w:r w:rsidRPr="00AB39DC">
              <w:rPr>
                <w:rFonts w:asciiTheme="minorHAnsi" w:hAnsiTheme="minorHAnsi" w:cstheme="minorHAnsi"/>
                <w:i/>
                <w:iCs/>
                <w:sz w:val="22"/>
                <w:szCs w:val="22"/>
              </w:rPr>
              <w:t xml:space="preserve">Int. J. </w:t>
            </w:r>
            <w:proofErr w:type="spellStart"/>
            <w:r w:rsidRPr="00AB39DC">
              <w:rPr>
                <w:rFonts w:asciiTheme="minorHAnsi" w:hAnsiTheme="minorHAnsi" w:cstheme="minorHAnsi"/>
                <w:i/>
                <w:iCs/>
                <w:sz w:val="22"/>
                <w:szCs w:val="22"/>
              </w:rPr>
              <w:t>Pharmacogn</w:t>
            </w:r>
            <w:proofErr w:type="spellEnd"/>
            <w:r w:rsidRPr="00AB39DC">
              <w:rPr>
                <w:rFonts w:asciiTheme="minorHAnsi" w:hAnsiTheme="minorHAnsi" w:cstheme="minorHAnsi"/>
                <w:sz w:val="22"/>
                <w:szCs w:val="22"/>
              </w:rPr>
              <w:t xml:space="preserve">. </w:t>
            </w:r>
            <w:proofErr w:type="spellStart"/>
            <w:r w:rsidRPr="00AB39DC">
              <w:rPr>
                <w:rFonts w:asciiTheme="minorHAnsi" w:hAnsiTheme="minorHAnsi" w:cstheme="minorHAnsi"/>
                <w:i/>
                <w:iCs/>
                <w:sz w:val="22"/>
                <w:szCs w:val="22"/>
              </w:rPr>
              <w:t>Phytochem</w:t>
            </w:r>
            <w:proofErr w:type="spellEnd"/>
            <w:r w:rsidRPr="00AB39DC">
              <w:rPr>
                <w:rFonts w:asciiTheme="minorHAnsi" w:hAnsiTheme="minorHAnsi" w:cstheme="minorHAnsi"/>
                <w:sz w:val="22"/>
                <w:szCs w:val="22"/>
              </w:rPr>
              <w:t xml:space="preserve">., 4(3), 273-277. </w:t>
            </w:r>
          </w:p>
          <w:p w14:paraId="4CC1AD4E" w14:textId="77777777" w:rsidR="00163A4F" w:rsidRPr="00AB39DC" w:rsidRDefault="00163A4F" w:rsidP="00163A4F">
            <w:pPr>
              <w:pStyle w:val="MDPI71References"/>
              <w:spacing w:line="240" w:lineRule="auto"/>
              <w:rPr>
                <w:rFonts w:asciiTheme="minorHAnsi" w:hAnsiTheme="minorHAnsi" w:cstheme="minorHAnsi"/>
                <w:sz w:val="22"/>
                <w:szCs w:val="22"/>
              </w:rPr>
            </w:pPr>
            <w:proofErr w:type="spellStart"/>
            <w:r w:rsidRPr="00AB39DC">
              <w:rPr>
                <w:rFonts w:asciiTheme="minorHAnsi" w:hAnsiTheme="minorHAnsi" w:cstheme="minorHAnsi"/>
                <w:sz w:val="22"/>
                <w:szCs w:val="22"/>
              </w:rPr>
              <w:t>Paramapojn</w:t>
            </w:r>
            <w:proofErr w:type="spellEnd"/>
            <w:r w:rsidRPr="00AB39DC">
              <w:rPr>
                <w:rFonts w:asciiTheme="minorHAnsi" w:hAnsiTheme="minorHAnsi" w:cstheme="minorHAnsi"/>
                <w:sz w:val="22"/>
                <w:szCs w:val="22"/>
              </w:rPr>
              <w:t xml:space="preserve">, S., </w:t>
            </w:r>
            <w:proofErr w:type="spellStart"/>
            <w:r w:rsidRPr="00AB39DC">
              <w:rPr>
                <w:rFonts w:asciiTheme="minorHAnsi" w:hAnsiTheme="minorHAnsi" w:cstheme="minorHAnsi"/>
                <w:sz w:val="22"/>
                <w:szCs w:val="22"/>
              </w:rPr>
              <w:t>Ganzera</w:t>
            </w:r>
            <w:proofErr w:type="spellEnd"/>
            <w:r w:rsidRPr="00AB39DC">
              <w:rPr>
                <w:rFonts w:asciiTheme="minorHAnsi" w:hAnsiTheme="minorHAnsi" w:cstheme="minorHAnsi"/>
                <w:sz w:val="22"/>
                <w:szCs w:val="22"/>
              </w:rPr>
              <w:t xml:space="preserve">, M., </w:t>
            </w:r>
            <w:proofErr w:type="spellStart"/>
            <w:r w:rsidRPr="00AB39DC">
              <w:rPr>
                <w:rFonts w:asciiTheme="minorHAnsi" w:hAnsiTheme="minorHAnsi" w:cstheme="minorHAnsi"/>
                <w:sz w:val="22"/>
                <w:szCs w:val="22"/>
              </w:rPr>
              <w:t>Gritsanapan</w:t>
            </w:r>
            <w:proofErr w:type="spellEnd"/>
            <w:r w:rsidRPr="00AB39DC">
              <w:rPr>
                <w:rFonts w:asciiTheme="minorHAnsi" w:hAnsiTheme="minorHAnsi" w:cstheme="minorHAnsi"/>
                <w:sz w:val="22"/>
                <w:szCs w:val="22"/>
              </w:rPr>
              <w:t xml:space="preserve">, W., </w:t>
            </w:r>
            <w:proofErr w:type="spellStart"/>
            <w:r w:rsidRPr="00AB39DC">
              <w:rPr>
                <w:rFonts w:asciiTheme="minorHAnsi" w:hAnsiTheme="minorHAnsi" w:cstheme="minorHAnsi"/>
                <w:sz w:val="22"/>
                <w:szCs w:val="22"/>
              </w:rPr>
              <w:t>Stuppner</w:t>
            </w:r>
            <w:proofErr w:type="spellEnd"/>
            <w:r w:rsidRPr="00AB39DC">
              <w:rPr>
                <w:rFonts w:asciiTheme="minorHAnsi" w:hAnsiTheme="minorHAnsi" w:cstheme="minorHAnsi"/>
                <w:sz w:val="22"/>
                <w:szCs w:val="22"/>
              </w:rPr>
              <w:t xml:space="preserve">, H., 2008. Analysis of Naphthoquinone Derivatives in the Asian Medicinal Plant </w:t>
            </w:r>
            <w:proofErr w:type="spellStart"/>
            <w:r w:rsidRPr="00AB39DC">
              <w:rPr>
                <w:rFonts w:asciiTheme="minorHAnsi" w:hAnsiTheme="minorHAnsi" w:cstheme="minorHAnsi"/>
                <w:i/>
                <w:iCs/>
                <w:sz w:val="22"/>
                <w:szCs w:val="22"/>
              </w:rPr>
              <w:t>Eleutherine</w:t>
            </w:r>
            <w:proofErr w:type="spellEnd"/>
            <w:r w:rsidRPr="00AB39DC">
              <w:rPr>
                <w:rFonts w:asciiTheme="minorHAnsi" w:hAnsiTheme="minorHAnsi" w:cstheme="minorHAnsi"/>
                <w:i/>
                <w:iCs/>
                <w:sz w:val="22"/>
                <w:szCs w:val="22"/>
              </w:rPr>
              <w:t xml:space="preserve"> americana</w:t>
            </w:r>
            <w:r w:rsidRPr="00AB39DC">
              <w:rPr>
                <w:rFonts w:asciiTheme="minorHAnsi" w:hAnsiTheme="minorHAnsi" w:cstheme="minorHAnsi"/>
                <w:sz w:val="22"/>
                <w:szCs w:val="22"/>
              </w:rPr>
              <w:t xml:space="preserve"> by RP-HPLC and LC-MS, </w:t>
            </w:r>
            <w:r w:rsidRPr="00AB39DC">
              <w:rPr>
                <w:rFonts w:asciiTheme="minorHAnsi" w:hAnsiTheme="minorHAnsi" w:cstheme="minorHAnsi"/>
                <w:i/>
                <w:iCs/>
                <w:sz w:val="22"/>
                <w:szCs w:val="22"/>
              </w:rPr>
              <w:t>J. Pharm. Biomed</w:t>
            </w:r>
            <w:r w:rsidRPr="00AB39DC">
              <w:rPr>
                <w:rFonts w:asciiTheme="minorHAnsi" w:hAnsiTheme="minorHAnsi" w:cstheme="minorHAnsi"/>
                <w:sz w:val="22"/>
                <w:szCs w:val="22"/>
              </w:rPr>
              <w:t xml:space="preserve">. 47 (4-5), 990-993. </w:t>
            </w:r>
          </w:p>
          <w:p w14:paraId="3D226AAB" w14:textId="1F311329" w:rsidR="00163A4F" w:rsidRPr="00AB39DC" w:rsidRDefault="00C1090A" w:rsidP="00163A4F">
            <w:pPr>
              <w:pStyle w:val="MDPI71References"/>
              <w:spacing w:line="240" w:lineRule="auto"/>
              <w:rPr>
                <w:rFonts w:asciiTheme="minorHAnsi" w:hAnsiTheme="minorHAnsi" w:cstheme="minorHAnsi"/>
                <w:sz w:val="22"/>
                <w:szCs w:val="22"/>
                <w:highlight w:val="green"/>
              </w:rPr>
            </w:pPr>
            <w:r w:rsidRPr="00AB39DC">
              <w:rPr>
                <w:rFonts w:asciiTheme="minorHAnsi" w:hAnsiTheme="minorHAnsi" w:cstheme="minorHAnsi"/>
                <w:sz w:val="22"/>
                <w:szCs w:val="22"/>
                <w:highlight w:val="green"/>
              </w:rPr>
              <w:t>Kumar, R.B., 2017, Application of HPLC and ESI-MS techniques in the analysis of phenolic acids and flavonoids from green leafy vegetables (GLVs). J Pharm Anal., 7(6), 349-364.</w:t>
            </w:r>
            <w:r w:rsidR="00163A4F" w:rsidRPr="00AB39DC">
              <w:rPr>
                <w:rFonts w:asciiTheme="minorHAnsi" w:hAnsiTheme="minorHAnsi" w:cstheme="minorHAnsi"/>
                <w:sz w:val="22"/>
                <w:szCs w:val="22"/>
                <w:highlight w:val="green"/>
              </w:rPr>
              <w:t xml:space="preserve"> </w:t>
            </w:r>
          </w:p>
          <w:p w14:paraId="6C62FA16" w14:textId="1A9F14B4" w:rsidR="00163A4F" w:rsidRPr="00AB39DC" w:rsidRDefault="00163A4F" w:rsidP="00163A4F">
            <w:pPr>
              <w:pStyle w:val="MDPI71References"/>
              <w:spacing w:line="240" w:lineRule="auto"/>
              <w:rPr>
                <w:rFonts w:asciiTheme="minorHAnsi" w:hAnsiTheme="minorHAnsi" w:cstheme="minorHAnsi"/>
                <w:sz w:val="22"/>
                <w:szCs w:val="22"/>
                <w:highlight w:val="green"/>
              </w:rPr>
            </w:pPr>
            <w:r w:rsidRPr="00AB39DC">
              <w:rPr>
                <w:rFonts w:asciiTheme="minorHAnsi" w:hAnsiTheme="minorHAnsi" w:cstheme="minorHAnsi"/>
                <w:sz w:val="22"/>
                <w:szCs w:val="22"/>
                <w:highlight w:val="green"/>
              </w:rPr>
              <w:t>USP-NF, 20</w:t>
            </w:r>
            <w:r w:rsidR="00D20C10" w:rsidRPr="00AB39DC">
              <w:rPr>
                <w:rFonts w:asciiTheme="minorHAnsi" w:hAnsiTheme="minorHAnsi" w:cstheme="minorHAnsi"/>
                <w:sz w:val="22"/>
                <w:szCs w:val="22"/>
                <w:highlight w:val="green"/>
              </w:rPr>
              <w:t>14</w:t>
            </w:r>
            <w:r w:rsidRPr="00AB39DC">
              <w:rPr>
                <w:rFonts w:asciiTheme="minorHAnsi" w:hAnsiTheme="minorHAnsi" w:cstheme="minorHAnsi"/>
                <w:sz w:val="22"/>
                <w:szCs w:val="22"/>
                <w:highlight w:val="green"/>
              </w:rPr>
              <w:t xml:space="preserve">. </w:t>
            </w:r>
            <w:r w:rsidRPr="00AB39DC">
              <w:rPr>
                <w:rFonts w:asciiTheme="minorHAnsi" w:hAnsiTheme="minorHAnsi" w:cstheme="minorHAnsi"/>
                <w:i/>
                <w:iCs/>
                <w:sz w:val="22"/>
                <w:szCs w:val="22"/>
                <w:highlight w:val="green"/>
              </w:rPr>
              <w:t xml:space="preserve">United States Pharmacopeia, </w:t>
            </w:r>
            <w:r w:rsidR="00D20C10" w:rsidRPr="00AB39DC">
              <w:rPr>
                <w:rFonts w:asciiTheme="minorHAnsi" w:hAnsiTheme="minorHAnsi" w:cstheme="minorHAnsi"/>
                <w:i/>
                <w:iCs/>
                <w:sz w:val="22"/>
                <w:szCs w:val="22"/>
                <w:highlight w:val="green"/>
              </w:rPr>
              <w:t>43</w:t>
            </w:r>
            <w:r w:rsidRPr="00AB39DC">
              <w:rPr>
                <w:rFonts w:asciiTheme="minorHAnsi" w:hAnsiTheme="minorHAnsi" w:cstheme="minorHAnsi"/>
                <w:i/>
                <w:iCs/>
                <w:sz w:val="22"/>
                <w:szCs w:val="22"/>
                <w:highlight w:val="green"/>
                <w:vertAlign w:val="superscript"/>
              </w:rPr>
              <w:t>ed</w:t>
            </w:r>
            <w:r w:rsidRPr="00AB39DC">
              <w:rPr>
                <w:rFonts w:asciiTheme="minorHAnsi" w:hAnsiTheme="minorHAnsi" w:cstheme="minorHAnsi"/>
                <w:sz w:val="22"/>
                <w:szCs w:val="22"/>
                <w:highlight w:val="green"/>
              </w:rPr>
              <w:t xml:space="preserve">., United States Pharmacopeial Convention, Rockville.  </w:t>
            </w:r>
          </w:p>
          <w:p w14:paraId="2C210146" w14:textId="77777777" w:rsidR="00163A4F" w:rsidRPr="00AB39DC" w:rsidRDefault="00163A4F" w:rsidP="00163A4F">
            <w:pPr>
              <w:pStyle w:val="MDPI71References"/>
              <w:spacing w:line="240" w:lineRule="auto"/>
              <w:rPr>
                <w:rFonts w:asciiTheme="minorHAnsi" w:hAnsiTheme="minorHAnsi" w:cstheme="minorHAnsi"/>
                <w:sz w:val="22"/>
                <w:szCs w:val="22"/>
                <w:highlight w:val="yellow"/>
              </w:rPr>
            </w:pPr>
            <w:r w:rsidRPr="00AB39DC">
              <w:rPr>
                <w:rFonts w:asciiTheme="minorHAnsi" w:hAnsiTheme="minorHAnsi" w:cstheme="minorHAnsi"/>
                <w:sz w:val="22"/>
                <w:szCs w:val="22"/>
                <w:highlight w:val="yellow"/>
              </w:rPr>
              <w:t xml:space="preserve">Dixon, J.M., Taniguchi, M., Lindsey, J.S., 2005. </w:t>
            </w:r>
            <w:proofErr w:type="spellStart"/>
            <w:r w:rsidRPr="00AB39DC">
              <w:rPr>
                <w:rFonts w:asciiTheme="minorHAnsi" w:hAnsiTheme="minorHAnsi" w:cstheme="minorHAnsi"/>
                <w:sz w:val="22"/>
                <w:szCs w:val="22"/>
                <w:highlight w:val="yellow"/>
              </w:rPr>
              <w:t>PhotochemCAD</w:t>
            </w:r>
            <w:proofErr w:type="spellEnd"/>
            <w:r w:rsidRPr="00AB39DC">
              <w:rPr>
                <w:rFonts w:asciiTheme="minorHAnsi" w:hAnsiTheme="minorHAnsi" w:cstheme="minorHAnsi"/>
                <w:sz w:val="22"/>
                <w:szCs w:val="22"/>
                <w:highlight w:val="yellow"/>
              </w:rPr>
              <w:t xml:space="preserve"> 2. A Refined Program with Accompanying Spectral Databases for Photochemical Calculations, </w:t>
            </w:r>
            <w:proofErr w:type="spellStart"/>
            <w:r w:rsidRPr="00AB39DC">
              <w:rPr>
                <w:rFonts w:asciiTheme="minorHAnsi" w:hAnsiTheme="minorHAnsi" w:cstheme="minorHAnsi"/>
                <w:i/>
                <w:iCs/>
                <w:sz w:val="22"/>
                <w:szCs w:val="22"/>
                <w:highlight w:val="yellow"/>
              </w:rPr>
              <w:t>Photochem</w:t>
            </w:r>
            <w:proofErr w:type="spellEnd"/>
            <w:r w:rsidRPr="00AB39DC">
              <w:rPr>
                <w:rFonts w:asciiTheme="minorHAnsi" w:hAnsiTheme="minorHAnsi" w:cstheme="minorHAnsi"/>
                <w:i/>
                <w:iCs/>
                <w:sz w:val="22"/>
                <w:szCs w:val="22"/>
                <w:highlight w:val="yellow"/>
              </w:rPr>
              <w:t xml:space="preserve"> </w:t>
            </w:r>
            <w:proofErr w:type="spellStart"/>
            <w:r w:rsidRPr="00AB39DC">
              <w:rPr>
                <w:rFonts w:asciiTheme="minorHAnsi" w:hAnsiTheme="minorHAnsi" w:cstheme="minorHAnsi"/>
                <w:i/>
                <w:iCs/>
                <w:sz w:val="22"/>
                <w:szCs w:val="22"/>
                <w:highlight w:val="yellow"/>
              </w:rPr>
              <w:t>Photobiol</w:t>
            </w:r>
            <w:proofErr w:type="spellEnd"/>
            <w:r w:rsidRPr="00AB39DC">
              <w:rPr>
                <w:rFonts w:asciiTheme="minorHAnsi" w:hAnsiTheme="minorHAnsi" w:cstheme="minorHAnsi"/>
                <w:sz w:val="22"/>
                <w:szCs w:val="22"/>
                <w:highlight w:val="yellow"/>
              </w:rPr>
              <w:t xml:space="preserve">., 81(1), 212-213. </w:t>
            </w:r>
          </w:p>
          <w:p w14:paraId="093AA7D6" w14:textId="7D14B441" w:rsidR="00163A4F" w:rsidRPr="00AB39DC" w:rsidRDefault="00D20C10" w:rsidP="00163A4F">
            <w:pPr>
              <w:pStyle w:val="MDPI71References"/>
              <w:spacing w:line="240" w:lineRule="auto"/>
              <w:rPr>
                <w:rFonts w:asciiTheme="minorHAnsi" w:hAnsiTheme="minorHAnsi" w:cstheme="minorHAnsi"/>
                <w:sz w:val="22"/>
                <w:szCs w:val="22"/>
                <w:highlight w:val="green"/>
              </w:rPr>
            </w:pPr>
            <w:r w:rsidRPr="00AB39DC">
              <w:rPr>
                <w:rFonts w:asciiTheme="minorHAnsi" w:hAnsiTheme="minorHAnsi" w:cstheme="minorHAnsi"/>
                <w:sz w:val="22"/>
                <w:szCs w:val="22"/>
                <w:highlight w:val="green"/>
              </w:rPr>
              <w:t>Suresh, R</w:t>
            </w:r>
            <w:r w:rsidR="00163A4F" w:rsidRPr="00AB39DC">
              <w:rPr>
                <w:rFonts w:asciiTheme="minorHAnsi" w:hAnsiTheme="minorHAnsi" w:cstheme="minorHAnsi"/>
                <w:sz w:val="22"/>
                <w:szCs w:val="22"/>
                <w:highlight w:val="green"/>
              </w:rPr>
              <w:t>.</w:t>
            </w:r>
            <w:r w:rsidRPr="00AB39DC">
              <w:rPr>
                <w:rFonts w:asciiTheme="minorHAnsi" w:hAnsiTheme="minorHAnsi" w:cstheme="minorHAnsi"/>
                <w:sz w:val="22"/>
                <w:szCs w:val="22"/>
                <w:highlight w:val="green"/>
              </w:rPr>
              <w:t xml:space="preserve">, </w:t>
            </w:r>
            <w:proofErr w:type="spellStart"/>
            <w:r w:rsidRPr="00AB39DC">
              <w:rPr>
                <w:rFonts w:asciiTheme="minorHAnsi" w:hAnsiTheme="minorHAnsi" w:cstheme="minorHAnsi"/>
                <w:sz w:val="22"/>
                <w:szCs w:val="22"/>
                <w:highlight w:val="green"/>
              </w:rPr>
              <w:t>Anarthanan</w:t>
            </w:r>
            <w:proofErr w:type="spellEnd"/>
            <w:r w:rsidRPr="00AB39DC">
              <w:rPr>
                <w:rFonts w:asciiTheme="minorHAnsi" w:hAnsiTheme="minorHAnsi" w:cstheme="minorHAnsi"/>
                <w:sz w:val="22"/>
                <w:szCs w:val="22"/>
                <w:highlight w:val="green"/>
              </w:rPr>
              <w:t xml:space="preserve">, S.V.J., </w:t>
            </w:r>
            <w:proofErr w:type="spellStart"/>
            <w:r w:rsidRPr="00AB39DC">
              <w:rPr>
                <w:rFonts w:asciiTheme="minorHAnsi" w:hAnsiTheme="minorHAnsi" w:cstheme="minorHAnsi"/>
                <w:sz w:val="22"/>
                <w:szCs w:val="22"/>
                <w:highlight w:val="green"/>
              </w:rPr>
              <w:t>Manavalan</w:t>
            </w:r>
            <w:proofErr w:type="spellEnd"/>
            <w:r w:rsidRPr="00AB39DC">
              <w:rPr>
                <w:rFonts w:asciiTheme="minorHAnsi" w:hAnsiTheme="minorHAnsi" w:cstheme="minorHAnsi"/>
                <w:sz w:val="22"/>
                <w:szCs w:val="22"/>
                <w:highlight w:val="green"/>
              </w:rPr>
              <w:t xml:space="preserve">, R., </w:t>
            </w:r>
            <w:proofErr w:type="spellStart"/>
            <w:r w:rsidRPr="00AB39DC">
              <w:rPr>
                <w:rFonts w:asciiTheme="minorHAnsi" w:hAnsiTheme="minorHAnsi" w:cstheme="minorHAnsi"/>
                <w:sz w:val="22"/>
                <w:szCs w:val="22"/>
                <w:highlight w:val="green"/>
              </w:rPr>
              <w:t>Valliappan</w:t>
            </w:r>
            <w:proofErr w:type="spellEnd"/>
            <w:r w:rsidRPr="00AB39DC">
              <w:rPr>
                <w:rFonts w:asciiTheme="minorHAnsi" w:hAnsiTheme="minorHAnsi" w:cstheme="minorHAnsi"/>
                <w:sz w:val="22"/>
                <w:szCs w:val="22"/>
                <w:highlight w:val="green"/>
              </w:rPr>
              <w:t>, K. 2010.</w:t>
            </w:r>
            <w:r w:rsidR="00163A4F" w:rsidRPr="00AB39DC">
              <w:rPr>
                <w:rFonts w:asciiTheme="minorHAnsi" w:hAnsiTheme="minorHAnsi" w:cstheme="minorHAnsi"/>
                <w:sz w:val="22"/>
                <w:szCs w:val="22"/>
                <w:highlight w:val="green"/>
              </w:rPr>
              <w:t xml:space="preserve"> </w:t>
            </w:r>
            <w:r w:rsidRPr="00AB39DC">
              <w:rPr>
                <w:rFonts w:asciiTheme="minorHAnsi" w:hAnsiTheme="minorHAnsi" w:cstheme="minorHAnsi"/>
                <w:i/>
                <w:iCs/>
                <w:sz w:val="22"/>
                <w:szCs w:val="22"/>
                <w:highlight w:val="green"/>
              </w:rPr>
              <w:t xml:space="preserve">Aspects of validation in HPLC method development for pharmaceutical </w:t>
            </w:r>
            <w:r w:rsidRPr="00AB39DC">
              <w:rPr>
                <w:rFonts w:asciiTheme="minorHAnsi" w:hAnsiTheme="minorHAnsi" w:cstheme="minorHAnsi"/>
                <w:i/>
                <w:iCs/>
                <w:sz w:val="22"/>
                <w:szCs w:val="22"/>
                <w:highlight w:val="green"/>
              </w:rPr>
              <w:lastRenderedPageBreak/>
              <w:t xml:space="preserve">analysis-comparison of </w:t>
            </w:r>
            <w:proofErr w:type="spellStart"/>
            <w:r w:rsidRPr="00AB39DC">
              <w:rPr>
                <w:rFonts w:asciiTheme="minorHAnsi" w:hAnsiTheme="minorHAnsi" w:cstheme="minorHAnsi"/>
                <w:i/>
                <w:iCs/>
                <w:sz w:val="22"/>
                <w:szCs w:val="22"/>
                <w:highlight w:val="green"/>
              </w:rPr>
              <w:t>validaton</w:t>
            </w:r>
            <w:proofErr w:type="spellEnd"/>
            <w:r w:rsidRPr="00AB39DC">
              <w:rPr>
                <w:rFonts w:asciiTheme="minorHAnsi" w:hAnsiTheme="minorHAnsi" w:cstheme="minorHAnsi"/>
                <w:i/>
                <w:iCs/>
                <w:sz w:val="22"/>
                <w:szCs w:val="22"/>
                <w:highlight w:val="green"/>
              </w:rPr>
              <w:t xml:space="preserve"> requirements by FDA, USP, and ICH</w:t>
            </w:r>
            <w:r w:rsidR="00163A4F" w:rsidRPr="00AB39DC">
              <w:rPr>
                <w:rFonts w:asciiTheme="minorHAnsi" w:hAnsiTheme="minorHAnsi" w:cstheme="minorHAnsi"/>
                <w:sz w:val="22"/>
                <w:szCs w:val="22"/>
                <w:highlight w:val="green"/>
              </w:rPr>
              <w:t>.</w:t>
            </w:r>
            <w:r w:rsidRPr="00AB39DC">
              <w:rPr>
                <w:rFonts w:asciiTheme="minorHAnsi" w:hAnsiTheme="minorHAnsi" w:cstheme="minorHAnsi"/>
                <w:sz w:val="22"/>
                <w:szCs w:val="22"/>
                <w:highlight w:val="green"/>
              </w:rPr>
              <w:t xml:space="preserve"> Int J Pharm Sci Drug., 1(2), 123-132. </w:t>
            </w:r>
          </w:p>
          <w:p w14:paraId="2A456235" w14:textId="100BB908" w:rsidR="00163A4F" w:rsidRPr="00AB39DC" w:rsidRDefault="00163A4F" w:rsidP="00163A4F">
            <w:pPr>
              <w:pStyle w:val="MDPI71References"/>
              <w:spacing w:line="240" w:lineRule="auto"/>
              <w:rPr>
                <w:rFonts w:asciiTheme="minorHAnsi" w:hAnsiTheme="minorHAnsi" w:cstheme="minorHAnsi"/>
                <w:sz w:val="22"/>
                <w:szCs w:val="22"/>
                <w:highlight w:val="green"/>
              </w:rPr>
            </w:pPr>
            <w:r w:rsidRPr="00AB39DC">
              <w:rPr>
                <w:rFonts w:asciiTheme="minorHAnsi" w:hAnsiTheme="minorHAnsi" w:cstheme="minorHAnsi"/>
                <w:sz w:val="22"/>
                <w:szCs w:val="22"/>
                <w:highlight w:val="green"/>
              </w:rPr>
              <w:t>AOAC International, AOAC Guidelines for Single Laboratory Validation of Chemical Methods for Dietary Supplements and Botanicals. https://www.aoac.org/aoac_prod_imis/AOAC_Docs/StandardsDevelopment/SLV_Guidelines_Dietary_Supplements.pdf, 20</w:t>
            </w:r>
            <w:r w:rsidR="00D20C10" w:rsidRPr="00AB39DC">
              <w:rPr>
                <w:rFonts w:asciiTheme="minorHAnsi" w:hAnsiTheme="minorHAnsi" w:cstheme="minorHAnsi"/>
                <w:sz w:val="22"/>
                <w:szCs w:val="22"/>
                <w:highlight w:val="green"/>
              </w:rPr>
              <w:t>13</w:t>
            </w:r>
            <w:r w:rsidRPr="00AB39DC">
              <w:rPr>
                <w:rFonts w:asciiTheme="minorHAnsi" w:hAnsiTheme="minorHAnsi" w:cstheme="minorHAnsi"/>
                <w:sz w:val="22"/>
                <w:szCs w:val="22"/>
                <w:highlight w:val="green"/>
              </w:rPr>
              <w:t xml:space="preserve"> (accessed 21 April 2019). </w:t>
            </w:r>
          </w:p>
          <w:p w14:paraId="42D55E33" w14:textId="0B376446" w:rsidR="00163A4F" w:rsidRPr="00AB39DC" w:rsidRDefault="00D20C10" w:rsidP="00163A4F">
            <w:pPr>
              <w:pStyle w:val="MDPI71References"/>
              <w:spacing w:line="240" w:lineRule="auto"/>
              <w:rPr>
                <w:rFonts w:asciiTheme="minorHAnsi" w:hAnsiTheme="minorHAnsi" w:cstheme="minorHAnsi"/>
                <w:color w:val="auto"/>
                <w:sz w:val="22"/>
                <w:szCs w:val="22"/>
                <w:highlight w:val="green"/>
              </w:rPr>
            </w:pPr>
            <w:r w:rsidRPr="00AB39DC">
              <w:rPr>
                <w:rFonts w:asciiTheme="minorHAnsi" w:hAnsiTheme="minorHAnsi" w:cstheme="minorHAnsi"/>
                <w:color w:val="auto"/>
                <w:sz w:val="22"/>
                <w:szCs w:val="22"/>
                <w:highlight w:val="green"/>
              </w:rPr>
              <w:t>ALACC</w:t>
            </w:r>
            <w:r w:rsidR="00163A4F" w:rsidRPr="00AB39DC">
              <w:rPr>
                <w:rFonts w:asciiTheme="minorHAnsi" w:hAnsiTheme="minorHAnsi" w:cstheme="minorHAnsi"/>
                <w:color w:val="auto"/>
                <w:sz w:val="22"/>
                <w:szCs w:val="22"/>
                <w:highlight w:val="green"/>
              </w:rPr>
              <w:t xml:space="preserve">, </w:t>
            </w:r>
            <w:r w:rsidRPr="00AB39DC">
              <w:rPr>
                <w:rStyle w:val="Emphasis"/>
                <w:rFonts w:asciiTheme="minorHAnsi" w:hAnsiTheme="minorHAnsi" w:cstheme="minorHAnsi"/>
                <w:color w:val="auto"/>
                <w:sz w:val="22"/>
                <w:szCs w:val="22"/>
                <w:highlight w:val="green"/>
                <w:shd w:val="clear" w:color="auto" w:fill="FFFFFF"/>
              </w:rPr>
              <w:t>Guidelines for Laboratories Performing Microbiological and Chemical Analyses of Food, Dietary Supplements, and Pharmaceuticals</w:t>
            </w:r>
            <w:r w:rsidR="00163A4F" w:rsidRPr="00AB39DC">
              <w:rPr>
                <w:rFonts w:asciiTheme="minorHAnsi" w:hAnsiTheme="minorHAnsi" w:cstheme="minorHAnsi"/>
                <w:color w:val="auto"/>
                <w:sz w:val="22"/>
                <w:szCs w:val="22"/>
                <w:highlight w:val="green"/>
              </w:rPr>
              <w:t>,</w:t>
            </w:r>
            <w:hyperlink r:id="rId7" w:history="1">
              <w:r w:rsidRPr="00AB39DC">
                <w:rPr>
                  <w:rStyle w:val="Hyperlink"/>
                  <w:rFonts w:asciiTheme="minorHAnsi" w:hAnsiTheme="minorHAnsi" w:cstheme="minorHAnsi"/>
                  <w:color w:val="auto"/>
                  <w:sz w:val="22"/>
                  <w:szCs w:val="22"/>
                  <w:highlight w:val="green"/>
                  <w:u w:val="none"/>
                </w:rPr>
                <w:t>https://www.aoac.org/aoac-accreditation-guidelines-for-laboratories-alacc</w:t>
              </w:r>
            </w:hyperlink>
            <w:r w:rsidRPr="00AB39DC">
              <w:rPr>
                <w:rFonts w:asciiTheme="minorHAnsi" w:hAnsiTheme="minorHAnsi" w:cstheme="minorHAnsi"/>
                <w:color w:val="auto"/>
                <w:sz w:val="22"/>
                <w:szCs w:val="22"/>
                <w:highlight w:val="green"/>
              </w:rPr>
              <w:t xml:space="preserve">.2017. </w:t>
            </w:r>
            <w:r w:rsidR="00163A4F" w:rsidRPr="00AB39DC">
              <w:rPr>
                <w:rFonts w:asciiTheme="minorHAnsi" w:hAnsiTheme="minorHAnsi" w:cstheme="minorHAnsi"/>
                <w:color w:val="auto"/>
                <w:sz w:val="22"/>
                <w:szCs w:val="22"/>
                <w:highlight w:val="green"/>
              </w:rPr>
              <w:t xml:space="preserve">(accessed 21 </w:t>
            </w:r>
            <w:proofErr w:type="gramStart"/>
            <w:r w:rsidR="00163A4F" w:rsidRPr="00AB39DC">
              <w:rPr>
                <w:rFonts w:asciiTheme="minorHAnsi" w:hAnsiTheme="minorHAnsi" w:cstheme="minorHAnsi"/>
                <w:color w:val="auto"/>
                <w:sz w:val="22"/>
                <w:szCs w:val="22"/>
                <w:highlight w:val="green"/>
              </w:rPr>
              <w:t>December  2018</w:t>
            </w:r>
            <w:proofErr w:type="gramEnd"/>
            <w:r w:rsidR="00163A4F" w:rsidRPr="00AB39DC">
              <w:rPr>
                <w:rFonts w:asciiTheme="minorHAnsi" w:hAnsiTheme="minorHAnsi" w:cstheme="minorHAnsi"/>
                <w:color w:val="auto"/>
                <w:sz w:val="22"/>
                <w:szCs w:val="22"/>
                <w:highlight w:val="green"/>
              </w:rPr>
              <w:t>).</w:t>
            </w:r>
          </w:p>
          <w:p w14:paraId="23138D85" w14:textId="77777777" w:rsidR="00D20C10" w:rsidRPr="00AB39DC" w:rsidRDefault="00D20C10" w:rsidP="00D20C10">
            <w:pPr>
              <w:pStyle w:val="MDPI71References"/>
              <w:spacing w:line="240" w:lineRule="auto"/>
              <w:rPr>
                <w:rFonts w:asciiTheme="minorHAnsi" w:hAnsiTheme="minorHAnsi" w:cstheme="minorHAnsi"/>
                <w:color w:val="auto"/>
                <w:sz w:val="22"/>
                <w:szCs w:val="22"/>
                <w:highlight w:val="green"/>
              </w:rPr>
            </w:pPr>
            <w:r w:rsidRPr="00AB39DC">
              <w:rPr>
                <w:rFonts w:asciiTheme="minorHAnsi" w:hAnsiTheme="minorHAnsi" w:cstheme="minorHAnsi"/>
                <w:color w:val="auto"/>
                <w:sz w:val="22"/>
                <w:szCs w:val="22"/>
                <w:highlight w:val="green"/>
              </w:rPr>
              <w:t xml:space="preserve">Chen, D.L., Hu, M-G., Liu, Y-Y., Li R-T., Yu, M., Xu, D., et al., 2018. New Naphthalene Derivatives from the Bulbs of </w:t>
            </w:r>
            <w:proofErr w:type="spellStart"/>
            <w:r w:rsidRPr="00AB39DC">
              <w:rPr>
                <w:rFonts w:asciiTheme="minorHAnsi" w:hAnsiTheme="minorHAnsi" w:cstheme="minorHAnsi"/>
                <w:color w:val="auto"/>
                <w:sz w:val="22"/>
                <w:szCs w:val="22"/>
                <w:highlight w:val="green"/>
              </w:rPr>
              <w:t>Eleutherine</w:t>
            </w:r>
            <w:proofErr w:type="spellEnd"/>
            <w:r w:rsidRPr="00AB39DC">
              <w:rPr>
                <w:rFonts w:asciiTheme="minorHAnsi" w:hAnsiTheme="minorHAnsi" w:cstheme="minorHAnsi"/>
                <w:color w:val="auto"/>
                <w:sz w:val="22"/>
                <w:szCs w:val="22"/>
                <w:highlight w:val="green"/>
              </w:rPr>
              <w:t xml:space="preserve"> americana with Their Protective Effect on the Injury of HUVECs, </w:t>
            </w:r>
            <w:r w:rsidRPr="00AB39DC">
              <w:rPr>
                <w:rFonts w:asciiTheme="minorHAnsi" w:hAnsiTheme="minorHAnsi" w:cstheme="minorHAnsi"/>
                <w:i/>
                <w:iCs/>
                <w:color w:val="auto"/>
                <w:sz w:val="22"/>
                <w:szCs w:val="22"/>
                <w:highlight w:val="green"/>
              </w:rPr>
              <w:t>molecules</w:t>
            </w:r>
            <w:r w:rsidRPr="00AB39DC">
              <w:rPr>
                <w:rFonts w:asciiTheme="minorHAnsi" w:hAnsiTheme="minorHAnsi" w:cstheme="minorHAnsi"/>
                <w:color w:val="auto"/>
                <w:sz w:val="22"/>
                <w:szCs w:val="22"/>
                <w:highlight w:val="green"/>
              </w:rPr>
              <w:t>, 23(9): 2111.</w:t>
            </w:r>
          </w:p>
          <w:p w14:paraId="77A8712A" w14:textId="57E7AEF9" w:rsidR="00F00054" w:rsidRPr="00AB39DC" w:rsidRDefault="00D20C10" w:rsidP="00F00054">
            <w:pPr>
              <w:pStyle w:val="MDPI71References"/>
              <w:spacing w:line="240" w:lineRule="auto"/>
              <w:rPr>
                <w:rStyle w:val="cit"/>
                <w:rFonts w:asciiTheme="minorHAnsi" w:hAnsiTheme="minorHAnsi" w:cstheme="minorHAnsi"/>
                <w:color w:val="auto"/>
                <w:sz w:val="22"/>
                <w:szCs w:val="22"/>
                <w:highlight w:val="green"/>
              </w:rPr>
            </w:pPr>
            <w:r w:rsidRPr="00AB39DC">
              <w:rPr>
                <w:rFonts w:asciiTheme="minorHAnsi" w:hAnsiTheme="minorHAnsi" w:cstheme="minorHAnsi"/>
                <w:color w:val="auto"/>
                <w:sz w:val="22"/>
                <w:szCs w:val="22"/>
                <w:highlight w:val="green"/>
              </w:rPr>
              <w:t xml:space="preserve">Xu, L., Chan, C-O., Lau, C-C., Yu, Z., </w:t>
            </w:r>
            <w:proofErr w:type="spellStart"/>
            <w:r w:rsidRPr="00AB39DC">
              <w:rPr>
                <w:rFonts w:asciiTheme="minorHAnsi" w:hAnsiTheme="minorHAnsi" w:cstheme="minorHAnsi"/>
                <w:color w:val="auto"/>
                <w:sz w:val="22"/>
                <w:szCs w:val="22"/>
                <w:highlight w:val="green"/>
              </w:rPr>
              <w:t>Mok</w:t>
            </w:r>
            <w:proofErr w:type="spellEnd"/>
            <w:r w:rsidRPr="00AB39DC">
              <w:rPr>
                <w:rFonts w:asciiTheme="minorHAnsi" w:hAnsiTheme="minorHAnsi" w:cstheme="minorHAnsi"/>
                <w:color w:val="auto"/>
                <w:sz w:val="22"/>
                <w:szCs w:val="22"/>
                <w:highlight w:val="green"/>
              </w:rPr>
              <w:t xml:space="preserve">, D.K.W., Chen, S., 2012. Simultaneous determination of eight anthraquinones in Semen </w:t>
            </w:r>
            <w:proofErr w:type="spellStart"/>
            <w:r w:rsidRPr="00AB39DC">
              <w:rPr>
                <w:rFonts w:asciiTheme="minorHAnsi" w:hAnsiTheme="minorHAnsi" w:cstheme="minorHAnsi"/>
                <w:color w:val="auto"/>
                <w:sz w:val="22"/>
                <w:szCs w:val="22"/>
                <w:highlight w:val="green"/>
              </w:rPr>
              <w:t>Cassiae</w:t>
            </w:r>
            <w:proofErr w:type="spellEnd"/>
            <w:r w:rsidRPr="00AB39DC">
              <w:rPr>
                <w:rFonts w:asciiTheme="minorHAnsi" w:hAnsiTheme="minorHAnsi" w:cstheme="minorHAnsi"/>
                <w:color w:val="auto"/>
                <w:sz w:val="22"/>
                <w:szCs w:val="22"/>
                <w:highlight w:val="green"/>
              </w:rPr>
              <w:t xml:space="preserve"> by HPLC-DAD, </w:t>
            </w:r>
            <w:proofErr w:type="spellStart"/>
            <w:r w:rsidRPr="00AB39DC">
              <w:rPr>
                <w:rFonts w:asciiTheme="minorHAnsi" w:hAnsiTheme="minorHAnsi" w:cstheme="minorHAnsi"/>
                <w:i/>
                <w:iCs/>
                <w:color w:val="auto"/>
                <w:sz w:val="22"/>
                <w:szCs w:val="22"/>
                <w:highlight w:val="green"/>
              </w:rPr>
              <w:t>Phytochem</w:t>
            </w:r>
            <w:proofErr w:type="spellEnd"/>
            <w:r w:rsidRPr="00AB39DC">
              <w:rPr>
                <w:rFonts w:asciiTheme="minorHAnsi" w:hAnsiTheme="minorHAnsi" w:cstheme="minorHAnsi"/>
                <w:i/>
                <w:iCs/>
                <w:color w:val="auto"/>
                <w:sz w:val="22"/>
                <w:szCs w:val="22"/>
                <w:highlight w:val="green"/>
              </w:rPr>
              <w:t xml:space="preserve"> Anal</w:t>
            </w:r>
            <w:r w:rsidRPr="00AB39DC">
              <w:rPr>
                <w:rStyle w:val="cit"/>
                <w:rFonts w:asciiTheme="minorHAnsi" w:hAnsiTheme="minorHAnsi" w:cstheme="minorHAnsi"/>
                <w:color w:val="auto"/>
                <w:sz w:val="22"/>
                <w:szCs w:val="22"/>
                <w:highlight w:val="green"/>
                <w:shd w:val="clear" w:color="auto" w:fill="FFFFFF"/>
              </w:rPr>
              <w:t>, 23(2):110-6.</w:t>
            </w:r>
          </w:p>
          <w:p w14:paraId="4D088D55" w14:textId="308BF3E2" w:rsidR="00F00054" w:rsidRPr="00AB39DC" w:rsidRDefault="00F00054" w:rsidP="00F00054">
            <w:pPr>
              <w:pStyle w:val="MDPI71References"/>
              <w:spacing w:line="240" w:lineRule="auto"/>
              <w:rPr>
                <w:rFonts w:asciiTheme="minorHAnsi" w:hAnsiTheme="minorHAnsi" w:cstheme="minorHAnsi"/>
                <w:color w:val="auto"/>
                <w:sz w:val="22"/>
                <w:szCs w:val="22"/>
                <w:highlight w:val="green"/>
              </w:rPr>
            </w:pPr>
            <w:r w:rsidRPr="00AB39DC">
              <w:rPr>
                <w:rStyle w:val="cit"/>
                <w:rFonts w:asciiTheme="minorHAnsi" w:hAnsiTheme="minorHAnsi" w:cstheme="minorHAnsi"/>
                <w:color w:val="auto"/>
                <w:sz w:val="22"/>
                <w:szCs w:val="22"/>
                <w:highlight w:val="green"/>
                <w:shd w:val="clear" w:color="auto" w:fill="FFFFFF"/>
              </w:rPr>
              <w:t xml:space="preserve">Wei, S-Y., Yao, W-X., Ji, W-Y., Wei, J-Q., Peng, S-Q., 2013. </w:t>
            </w:r>
            <w:r w:rsidRPr="00AB39DC">
              <w:rPr>
                <w:rStyle w:val="title-text"/>
                <w:rFonts w:asciiTheme="minorHAnsi" w:hAnsiTheme="minorHAnsi" w:cstheme="minorHAnsi"/>
                <w:color w:val="auto"/>
                <w:sz w:val="22"/>
                <w:szCs w:val="22"/>
                <w:highlight w:val="green"/>
              </w:rPr>
              <w:t xml:space="preserve">Qualitative and quantitative analysis of anthraquinones in rhubarbs by high performance liquid chromatography with diode array detector and mass spectrometry, </w:t>
            </w:r>
            <w:r w:rsidRPr="00AB39DC">
              <w:rPr>
                <w:rStyle w:val="title-text"/>
                <w:rFonts w:asciiTheme="minorHAnsi" w:hAnsiTheme="minorHAnsi" w:cstheme="minorHAnsi"/>
                <w:i/>
                <w:iCs/>
                <w:color w:val="auto"/>
                <w:sz w:val="22"/>
                <w:szCs w:val="22"/>
                <w:highlight w:val="green"/>
              </w:rPr>
              <w:t>Food Chem</w:t>
            </w:r>
            <w:r w:rsidRPr="00AB39DC">
              <w:rPr>
                <w:rStyle w:val="title-text"/>
                <w:rFonts w:asciiTheme="minorHAnsi" w:hAnsiTheme="minorHAnsi" w:cstheme="minorHAnsi"/>
                <w:color w:val="auto"/>
                <w:sz w:val="22"/>
                <w:szCs w:val="22"/>
                <w:highlight w:val="green"/>
              </w:rPr>
              <w:t>., 141(3), 1710-5.</w:t>
            </w:r>
          </w:p>
          <w:p w14:paraId="10746FCD" w14:textId="5BC37622" w:rsidR="00D20C10" w:rsidRPr="00AB39DC" w:rsidRDefault="00F024A2" w:rsidP="00F024A2">
            <w:pPr>
              <w:pStyle w:val="MDPI71References"/>
              <w:spacing w:line="240" w:lineRule="auto"/>
              <w:rPr>
                <w:rFonts w:asciiTheme="minorHAnsi" w:hAnsiTheme="minorHAnsi" w:cstheme="minorHAnsi"/>
                <w:sz w:val="22"/>
                <w:szCs w:val="22"/>
                <w:highlight w:val="green"/>
              </w:rPr>
            </w:pPr>
            <w:r w:rsidRPr="00AB39DC">
              <w:rPr>
                <w:rFonts w:asciiTheme="minorHAnsi" w:hAnsiTheme="minorHAnsi" w:cstheme="minorHAnsi"/>
                <w:color w:val="333333"/>
                <w:sz w:val="22"/>
                <w:szCs w:val="22"/>
                <w:highlight w:val="green"/>
                <w:shd w:val="clear" w:color="auto" w:fill="FCFCFC"/>
              </w:rPr>
              <w:t>IARC. IARC Monographs on the evaluation of carcinogenic risks to humans. Volume 101.</w:t>
            </w:r>
            <w:hyperlink r:id="rId8" w:history="1">
              <w:r w:rsidRPr="00AB39DC">
                <w:rPr>
                  <w:rStyle w:val="Hyperlink"/>
                  <w:rFonts w:asciiTheme="minorHAnsi" w:hAnsiTheme="minorHAnsi" w:cstheme="minorHAnsi"/>
                  <w:color w:val="auto"/>
                  <w:sz w:val="22"/>
                  <w:szCs w:val="22"/>
                  <w:highlight w:val="green"/>
                  <w:u w:val="none"/>
                  <w:shd w:val="clear" w:color="auto" w:fill="FCFCFC"/>
                </w:rPr>
                <w:t>https://monographs.iarc.who.int/wp-content/uploads/2019/04/mono100A-2.pdf</w:t>
              </w:r>
            </w:hyperlink>
            <w:r w:rsidRPr="00AB39DC">
              <w:rPr>
                <w:rFonts w:asciiTheme="minorHAnsi" w:hAnsiTheme="minorHAnsi" w:cstheme="minorHAnsi"/>
                <w:color w:val="auto"/>
                <w:sz w:val="22"/>
                <w:szCs w:val="22"/>
                <w:highlight w:val="green"/>
                <w:shd w:val="clear" w:color="auto" w:fill="FCFCFC"/>
              </w:rPr>
              <w:t xml:space="preserve">. </w:t>
            </w:r>
            <w:r w:rsidRPr="00AB39DC">
              <w:rPr>
                <w:rFonts w:asciiTheme="minorHAnsi" w:hAnsiTheme="minorHAnsi" w:cstheme="minorHAnsi"/>
                <w:color w:val="333333"/>
                <w:sz w:val="22"/>
                <w:szCs w:val="22"/>
                <w:highlight w:val="green"/>
                <w:shd w:val="clear" w:color="auto" w:fill="FCFCFC"/>
              </w:rPr>
              <w:t>2013. (accessed 12 March 2021)</w:t>
            </w:r>
            <w:r w:rsidR="00012536" w:rsidRPr="00AB39DC">
              <w:rPr>
                <w:rFonts w:asciiTheme="minorHAnsi" w:hAnsiTheme="minorHAnsi" w:cstheme="minorHAnsi"/>
                <w:color w:val="333333"/>
                <w:sz w:val="22"/>
                <w:szCs w:val="22"/>
                <w:highlight w:val="green"/>
                <w:shd w:val="clear" w:color="auto" w:fill="FCFCFC"/>
              </w:rPr>
              <w:t>.</w:t>
            </w:r>
          </w:p>
          <w:p w14:paraId="4F324EE0" w14:textId="6040A9D5" w:rsidR="00F024A2" w:rsidRPr="00AB39DC" w:rsidRDefault="00012536" w:rsidP="00F024A2">
            <w:pPr>
              <w:pStyle w:val="MDPI71References"/>
              <w:spacing w:line="240" w:lineRule="auto"/>
              <w:rPr>
                <w:rFonts w:asciiTheme="minorHAnsi" w:hAnsiTheme="minorHAnsi" w:cstheme="minorHAnsi"/>
                <w:sz w:val="22"/>
                <w:szCs w:val="22"/>
                <w:highlight w:val="green"/>
              </w:rPr>
            </w:pPr>
            <w:r w:rsidRPr="00AB39DC">
              <w:rPr>
                <w:rFonts w:asciiTheme="minorHAnsi" w:hAnsiTheme="minorHAnsi" w:cstheme="minorHAnsi"/>
                <w:color w:val="333333"/>
                <w:sz w:val="22"/>
                <w:szCs w:val="22"/>
                <w:highlight w:val="green"/>
                <w:shd w:val="clear" w:color="auto" w:fill="FCFCFC"/>
              </w:rPr>
              <w:t xml:space="preserve">Duval, J., </w:t>
            </w:r>
            <w:proofErr w:type="spellStart"/>
            <w:r w:rsidRPr="00AB39DC">
              <w:rPr>
                <w:rFonts w:asciiTheme="minorHAnsi" w:hAnsiTheme="minorHAnsi" w:cstheme="minorHAnsi"/>
                <w:color w:val="333333"/>
                <w:sz w:val="22"/>
                <w:szCs w:val="22"/>
                <w:highlight w:val="green"/>
                <w:shd w:val="clear" w:color="auto" w:fill="FCFCFC"/>
              </w:rPr>
              <w:t>Pecher</w:t>
            </w:r>
            <w:proofErr w:type="spellEnd"/>
            <w:r w:rsidRPr="00AB39DC">
              <w:rPr>
                <w:rFonts w:asciiTheme="minorHAnsi" w:hAnsiTheme="minorHAnsi" w:cstheme="minorHAnsi"/>
                <w:color w:val="333333"/>
                <w:sz w:val="22"/>
                <w:szCs w:val="22"/>
                <w:highlight w:val="green"/>
                <w:shd w:val="clear" w:color="auto" w:fill="FCFCFC"/>
              </w:rPr>
              <w:t xml:space="preserve">, V., </w:t>
            </w:r>
            <w:proofErr w:type="spellStart"/>
            <w:r w:rsidRPr="00AB39DC">
              <w:rPr>
                <w:rFonts w:asciiTheme="minorHAnsi" w:hAnsiTheme="minorHAnsi" w:cstheme="minorHAnsi"/>
                <w:color w:val="333333"/>
                <w:sz w:val="22"/>
                <w:szCs w:val="22"/>
                <w:highlight w:val="green"/>
                <w:shd w:val="clear" w:color="auto" w:fill="FCFCFC"/>
              </w:rPr>
              <w:t>Poujol</w:t>
            </w:r>
            <w:proofErr w:type="spellEnd"/>
            <w:r w:rsidRPr="00AB39DC">
              <w:rPr>
                <w:rFonts w:asciiTheme="minorHAnsi" w:hAnsiTheme="minorHAnsi" w:cstheme="minorHAnsi"/>
                <w:color w:val="333333"/>
                <w:sz w:val="22"/>
                <w:szCs w:val="22"/>
                <w:highlight w:val="green"/>
                <w:shd w:val="clear" w:color="auto" w:fill="FCFCFC"/>
              </w:rPr>
              <w:t xml:space="preserve">, M., </w:t>
            </w:r>
            <w:proofErr w:type="spellStart"/>
            <w:r w:rsidRPr="00AB39DC">
              <w:rPr>
                <w:rFonts w:asciiTheme="minorHAnsi" w:hAnsiTheme="minorHAnsi" w:cstheme="minorHAnsi"/>
                <w:color w:val="333333"/>
                <w:sz w:val="22"/>
                <w:szCs w:val="22"/>
                <w:highlight w:val="green"/>
                <w:shd w:val="clear" w:color="auto" w:fill="FCFCFC"/>
              </w:rPr>
              <w:t>Lesellier</w:t>
            </w:r>
            <w:proofErr w:type="spellEnd"/>
            <w:r w:rsidRPr="00AB39DC">
              <w:rPr>
                <w:rFonts w:asciiTheme="minorHAnsi" w:hAnsiTheme="minorHAnsi" w:cstheme="minorHAnsi"/>
                <w:color w:val="333333"/>
                <w:sz w:val="22"/>
                <w:szCs w:val="22"/>
                <w:highlight w:val="green"/>
                <w:shd w:val="clear" w:color="auto" w:fill="FCFCFC"/>
              </w:rPr>
              <w:t xml:space="preserve">, E., 2016. Research advances for the extraction, analysis and uses </w:t>
            </w:r>
            <w:r w:rsidRPr="00AB39DC">
              <w:rPr>
                <w:rFonts w:asciiTheme="minorHAnsi" w:hAnsiTheme="minorHAnsi" w:cstheme="minorHAnsi"/>
                <w:color w:val="333333"/>
                <w:sz w:val="22"/>
                <w:szCs w:val="22"/>
                <w:highlight w:val="green"/>
                <w:shd w:val="clear" w:color="auto" w:fill="FCFCFC"/>
              </w:rPr>
              <w:lastRenderedPageBreak/>
              <w:t xml:space="preserve">of anthraquinones: a review. </w:t>
            </w:r>
            <w:r w:rsidRPr="00AB39DC">
              <w:rPr>
                <w:rFonts w:asciiTheme="minorHAnsi" w:hAnsiTheme="minorHAnsi" w:cstheme="minorHAnsi"/>
                <w:i/>
                <w:iCs/>
                <w:color w:val="333333"/>
                <w:sz w:val="22"/>
                <w:szCs w:val="22"/>
                <w:highlight w:val="green"/>
                <w:shd w:val="clear" w:color="auto" w:fill="FCFCFC"/>
              </w:rPr>
              <w:t>Ind Crops Prod,</w:t>
            </w:r>
            <w:r w:rsidRPr="00AB39DC">
              <w:rPr>
                <w:rFonts w:asciiTheme="minorHAnsi" w:hAnsiTheme="minorHAnsi" w:cstheme="minorHAnsi"/>
                <w:color w:val="333333"/>
                <w:sz w:val="22"/>
                <w:szCs w:val="22"/>
                <w:highlight w:val="green"/>
                <w:shd w:val="clear" w:color="auto" w:fill="FCFCFC"/>
              </w:rPr>
              <w:t xml:space="preserve"> 94, 812–33.</w:t>
            </w:r>
          </w:p>
          <w:p w14:paraId="766A34BB" w14:textId="6F98B709" w:rsidR="00163A4F" w:rsidRPr="00AB39DC" w:rsidRDefault="00163A4F">
            <w:pPr>
              <w:rPr>
                <w:rFonts w:cstheme="minorHAnsi"/>
              </w:rPr>
            </w:pPr>
          </w:p>
        </w:tc>
      </w:tr>
      <w:bookmarkEnd w:id="0"/>
      <w:bookmarkEnd w:id="3"/>
    </w:tbl>
    <w:p w14:paraId="0E9F8520" w14:textId="77777777" w:rsidR="00263DC0" w:rsidRPr="00AB39DC" w:rsidRDefault="00263DC0">
      <w:pPr>
        <w:rPr>
          <w:rFonts w:cstheme="minorHAnsi"/>
        </w:rPr>
      </w:pPr>
    </w:p>
    <w:sectPr w:rsidR="00263DC0" w:rsidRPr="00AB39DC" w:rsidSect="00AE3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1426F"/>
    <w:multiLevelType w:val="multilevel"/>
    <w:tmpl w:val="C45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S0NDexMDU0NzI3NjRR0lEKTi0uzszPAykwrAUA+1qjwywAAAA="/>
  </w:docVars>
  <w:rsids>
    <w:rsidRoot w:val="00C522ED"/>
    <w:rsid w:val="00012536"/>
    <w:rsid w:val="00013F03"/>
    <w:rsid w:val="00163A4F"/>
    <w:rsid w:val="00263DC0"/>
    <w:rsid w:val="0030325E"/>
    <w:rsid w:val="003F0C4B"/>
    <w:rsid w:val="006420BE"/>
    <w:rsid w:val="007A577D"/>
    <w:rsid w:val="00813E81"/>
    <w:rsid w:val="00893267"/>
    <w:rsid w:val="00995F78"/>
    <w:rsid w:val="009E489F"/>
    <w:rsid w:val="00AB39DC"/>
    <w:rsid w:val="00AE3D21"/>
    <w:rsid w:val="00B215EE"/>
    <w:rsid w:val="00C1090A"/>
    <w:rsid w:val="00C522ED"/>
    <w:rsid w:val="00C603EB"/>
    <w:rsid w:val="00D20C10"/>
    <w:rsid w:val="00E61B93"/>
    <w:rsid w:val="00F00054"/>
    <w:rsid w:val="00F024A2"/>
    <w:rsid w:val="00FB40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91C8"/>
  <w15:chartTrackingRefBased/>
  <w15:docId w15:val="{5A0E4CFE-CEAD-4E45-A630-806BA1DF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C10"/>
  </w:style>
  <w:style w:type="paragraph" w:styleId="Heading1">
    <w:name w:val="heading 1"/>
    <w:basedOn w:val="Normal"/>
    <w:next w:val="Normal"/>
    <w:link w:val="Heading1Char"/>
    <w:uiPriority w:val="9"/>
    <w:qFormat/>
    <w:rsid w:val="00D20C1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D20C1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D20C1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D20C1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D20C1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D20C1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D20C1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D20C1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D20C1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rsid w:val="006420BE"/>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basedOn w:val="Normal"/>
    <w:rsid w:val="00013F03"/>
    <w:pPr>
      <w:adjustRightInd w:val="0"/>
      <w:snapToGrid w:val="0"/>
      <w:spacing w:after="12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basedOn w:val="Normal"/>
    <w:qFormat/>
    <w:rsid w:val="00163A4F"/>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paragraph" w:customStyle="1" w:styleId="MDPI71References">
    <w:name w:val="MDPI_7.1_References"/>
    <w:basedOn w:val="Normal"/>
    <w:rsid w:val="00163A4F"/>
    <w:pPr>
      <w:numPr>
        <w:numId w:val="1"/>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val="en-US" w:eastAsia="de-DE" w:bidi="en-US"/>
    </w:rPr>
  </w:style>
  <w:style w:type="character" w:styleId="Emphasis">
    <w:name w:val="Emphasis"/>
    <w:basedOn w:val="DefaultParagraphFont"/>
    <w:uiPriority w:val="20"/>
    <w:qFormat/>
    <w:rsid w:val="00D20C10"/>
    <w:rPr>
      <w:i/>
      <w:iCs/>
    </w:rPr>
  </w:style>
  <w:style w:type="character" w:styleId="Hyperlink">
    <w:name w:val="Hyperlink"/>
    <w:basedOn w:val="DefaultParagraphFont"/>
    <w:uiPriority w:val="99"/>
    <w:unhideWhenUsed/>
    <w:rsid w:val="00D20C10"/>
    <w:rPr>
      <w:color w:val="0563C1" w:themeColor="hyperlink"/>
      <w:u w:val="single"/>
    </w:rPr>
  </w:style>
  <w:style w:type="character" w:styleId="UnresolvedMention">
    <w:name w:val="Unresolved Mention"/>
    <w:basedOn w:val="DefaultParagraphFont"/>
    <w:uiPriority w:val="99"/>
    <w:semiHidden/>
    <w:unhideWhenUsed/>
    <w:rsid w:val="00D20C10"/>
    <w:rPr>
      <w:color w:val="605E5C"/>
      <w:shd w:val="clear" w:color="auto" w:fill="E1DFDD"/>
    </w:rPr>
  </w:style>
  <w:style w:type="character" w:customStyle="1" w:styleId="Heading1Char">
    <w:name w:val="Heading 1 Char"/>
    <w:basedOn w:val="DefaultParagraphFont"/>
    <w:link w:val="Heading1"/>
    <w:uiPriority w:val="9"/>
    <w:rsid w:val="00D20C10"/>
    <w:rPr>
      <w:rFonts w:asciiTheme="majorHAnsi" w:eastAsiaTheme="majorEastAsia" w:hAnsiTheme="majorHAnsi" w:cstheme="majorBidi"/>
      <w:caps/>
      <w:sz w:val="36"/>
      <w:szCs w:val="36"/>
    </w:rPr>
  </w:style>
  <w:style w:type="character" w:customStyle="1" w:styleId="period">
    <w:name w:val="period"/>
    <w:basedOn w:val="DefaultParagraphFont"/>
    <w:rsid w:val="00D20C10"/>
  </w:style>
  <w:style w:type="character" w:customStyle="1" w:styleId="cit">
    <w:name w:val="cit"/>
    <w:basedOn w:val="DefaultParagraphFont"/>
    <w:rsid w:val="00D20C10"/>
  </w:style>
  <w:style w:type="character" w:customStyle="1" w:styleId="Heading2Char">
    <w:name w:val="Heading 2 Char"/>
    <w:basedOn w:val="DefaultParagraphFont"/>
    <w:link w:val="Heading2"/>
    <w:uiPriority w:val="9"/>
    <w:semiHidden/>
    <w:rsid w:val="00D20C1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D20C10"/>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D20C1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D20C1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D20C1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D20C1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D20C1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D20C10"/>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D20C10"/>
    <w:pPr>
      <w:spacing w:line="240" w:lineRule="auto"/>
    </w:pPr>
    <w:rPr>
      <w:b/>
      <w:bCs/>
      <w:smallCaps/>
      <w:color w:val="595959" w:themeColor="text1" w:themeTint="A6"/>
    </w:rPr>
  </w:style>
  <w:style w:type="paragraph" w:styleId="Title">
    <w:name w:val="Title"/>
    <w:basedOn w:val="Normal"/>
    <w:next w:val="Normal"/>
    <w:link w:val="TitleChar"/>
    <w:uiPriority w:val="10"/>
    <w:qFormat/>
    <w:rsid w:val="00D20C1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20C10"/>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D20C1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20C1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D20C10"/>
    <w:rPr>
      <w:b/>
      <w:bCs/>
    </w:rPr>
  </w:style>
  <w:style w:type="paragraph" w:styleId="NoSpacing">
    <w:name w:val="No Spacing"/>
    <w:uiPriority w:val="1"/>
    <w:qFormat/>
    <w:rsid w:val="00D20C10"/>
    <w:pPr>
      <w:spacing w:after="0" w:line="240" w:lineRule="auto"/>
    </w:pPr>
  </w:style>
  <w:style w:type="paragraph" w:styleId="Quote">
    <w:name w:val="Quote"/>
    <w:basedOn w:val="Normal"/>
    <w:next w:val="Normal"/>
    <w:link w:val="QuoteChar"/>
    <w:uiPriority w:val="29"/>
    <w:qFormat/>
    <w:rsid w:val="00D20C10"/>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20C10"/>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D20C10"/>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20C10"/>
    <w:rPr>
      <w:color w:val="404040" w:themeColor="text1" w:themeTint="BF"/>
      <w:sz w:val="32"/>
      <w:szCs w:val="32"/>
    </w:rPr>
  </w:style>
  <w:style w:type="character" w:styleId="SubtleEmphasis">
    <w:name w:val="Subtle Emphasis"/>
    <w:basedOn w:val="DefaultParagraphFont"/>
    <w:uiPriority w:val="19"/>
    <w:qFormat/>
    <w:rsid w:val="00D20C10"/>
    <w:rPr>
      <w:i/>
      <w:iCs/>
      <w:color w:val="595959" w:themeColor="text1" w:themeTint="A6"/>
    </w:rPr>
  </w:style>
  <w:style w:type="character" w:styleId="IntenseEmphasis">
    <w:name w:val="Intense Emphasis"/>
    <w:basedOn w:val="DefaultParagraphFont"/>
    <w:uiPriority w:val="21"/>
    <w:qFormat/>
    <w:rsid w:val="00D20C10"/>
    <w:rPr>
      <w:b/>
      <w:bCs/>
      <w:i/>
      <w:iCs/>
    </w:rPr>
  </w:style>
  <w:style w:type="character" w:styleId="SubtleReference">
    <w:name w:val="Subtle Reference"/>
    <w:basedOn w:val="DefaultParagraphFont"/>
    <w:uiPriority w:val="31"/>
    <w:qFormat/>
    <w:rsid w:val="00D20C1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20C10"/>
    <w:rPr>
      <w:b/>
      <w:bCs/>
      <w:caps w:val="0"/>
      <w:smallCaps/>
      <w:color w:val="auto"/>
      <w:spacing w:val="3"/>
      <w:u w:val="single"/>
    </w:rPr>
  </w:style>
  <w:style w:type="character" w:styleId="BookTitle">
    <w:name w:val="Book Title"/>
    <w:basedOn w:val="DefaultParagraphFont"/>
    <w:uiPriority w:val="33"/>
    <w:qFormat/>
    <w:rsid w:val="00D20C10"/>
    <w:rPr>
      <w:b/>
      <w:bCs/>
      <w:smallCaps/>
      <w:spacing w:val="7"/>
    </w:rPr>
  </w:style>
  <w:style w:type="paragraph" w:styleId="TOCHeading">
    <w:name w:val="TOC Heading"/>
    <w:basedOn w:val="Heading1"/>
    <w:next w:val="Normal"/>
    <w:uiPriority w:val="39"/>
    <w:semiHidden/>
    <w:unhideWhenUsed/>
    <w:qFormat/>
    <w:rsid w:val="00D20C10"/>
    <w:pPr>
      <w:outlineLvl w:val="9"/>
    </w:pPr>
  </w:style>
  <w:style w:type="character" w:customStyle="1" w:styleId="title-text">
    <w:name w:val="title-text"/>
    <w:basedOn w:val="DefaultParagraphFont"/>
    <w:rsid w:val="00F00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70251">
      <w:bodyDiv w:val="1"/>
      <w:marLeft w:val="0"/>
      <w:marRight w:val="0"/>
      <w:marTop w:val="0"/>
      <w:marBottom w:val="0"/>
      <w:divBdr>
        <w:top w:val="none" w:sz="0" w:space="0" w:color="auto"/>
        <w:left w:val="none" w:sz="0" w:space="0" w:color="auto"/>
        <w:bottom w:val="none" w:sz="0" w:space="0" w:color="auto"/>
        <w:right w:val="none" w:sz="0" w:space="0" w:color="auto"/>
      </w:divBdr>
    </w:div>
    <w:div w:id="331219688">
      <w:bodyDiv w:val="1"/>
      <w:marLeft w:val="0"/>
      <w:marRight w:val="0"/>
      <w:marTop w:val="0"/>
      <w:marBottom w:val="0"/>
      <w:divBdr>
        <w:top w:val="none" w:sz="0" w:space="0" w:color="auto"/>
        <w:left w:val="none" w:sz="0" w:space="0" w:color="auto"/>
        <w:bottom w:val="none" w:sz="0" w:space="0" w:color="auto"/>
        <w:right w:val="none" w:sz="0" w:space="0" w:color="auto"/>
      </w:divBdr>
      <w:divsChild>
        <w:div w:id="1914701451">
          <w:marLeft w:val="0"/>
          <w:marRight w:val="0"/>
          <w:marTop w:val="0"/>
          <w:marBottom w:val="0"/>
          <w:divBdr>
            <w:top w:val="none" w:sz="0" w:space="0" w:color="auto"/>
            <w:left w:val="none" w:sz="0" w:space="0" w:color="auto"/>
            <w:bottom w:val="none" w:sz="0" w:space="0" w:color="auto"/>
            <w:right w:val="none" w:sz="0" w:space="0" w:color="auto"/>
          </w:divBdr>
          <w:divsChild>
            <w:div w:id="10674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4891">
      <w:bodyDiv w:val="1"/>
      <w:marLeft w:val="0"/>
      <w:marRight w:val="0"/>
      <w:marTop w:val="0"/>
      <w:marBottom w:val="0"/>
      <w:divBdr>
        <w:top w:val="none" w:sz="0" w:space="0" w:color="auto"/>
        <w:left w:val="none" w:sz="0" w:space="0" w:color="auto"/>
        <w:bottom w:val="none" w:sz="0" w:space="0" w:color="auto"/>
        <w:right w:val="none" w:sz="0" w:space="0" w:color="auto"/>
      </w:divBdr>
    </w:div>
    <w:div w:id="1300263632">
      <w:bodyDiv w:val="1"/>
      <w:marLeft w:val="0"/>
      <w:marRight w:val="0"/>
      <w:marTop w:val="0"/>
      <w:marBottom w:val="0"/>
      <w:divBdr>
        <w:top w:val="none" w:sz="0" w:space="0" w:color="auto"/>
        <w:left w:val="none" w:sz="0" w:space="0" w:color="auto"/>
        <w:bottom w:val="none" w:sz="0" w:space="0" w:color="auto"/>
        <w:right w:val="none" w:sz="0" w:space="0" w:color="auto"/>
      </w:divBdr>
      <w:divsChild>
        <w:div w:id="1143236827">
          <w:marLeft w:val="0"/>
          <w:marRight w:val="0"/>
          <w:marTop w:val="0"/>
          <w:marBottom w:val="0"/>
          <w:divBdr>
            <w:top w:val="none" w:sz="0" w:space="0" w:color="auto"/>
            <w:left w:val="none" w:sz="0" w:space="0" w:color="auto"/>
            <w:bottom w:val="none" w:sz="0" w:space="0" w:color="auto"/>
            <w:right w:val="none" w:sz="0" w:space="0" w:color="auto"/>
          </w:divBdr>
          <w:divsChild>
            <w:div w:id="19339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graphs.iarc.who.int/wp-content/uploads/2019/04/mono100A-2.pdf" TargetMode="External"/><Relationship Id="rId3" Type="http://schemas.openxmlformats.org/officeDocument/2006/relationships/settings" Target="settings.xml"/><Relationship Id="rId7" Type="http://schemas.openxmlformats.org/officeDocument/2006/relationships/hyperlink" Target="https://www.aoac.org/aoac-accreditation-guidelines-for-laboratories-ala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Dr.rer.nat. Sophi Damayanti, S.Si.,M.Si.</dc:creator>
  <cp:keywords/>
  <dc:description/>
  <cp:lastModifiedBy>Sophi Damayanti</cp:lastModifiedBy>
  <cp:revision>3</cp:revision>
  <dcterms:created xsi:type="dcterms:W3CDTF">2021-03-15T02:33:00Z</dcterms:created>
  <dcterms:modified xsi:type="dcterms:W3CDTF">2021-03-15T02:44:00Z</dcterms:modified>
</cp:coreProperties>
</file>