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529E8" w14:textId="11B5E91D" w:rsidR="00140B10" w:rsidRDefault="00140B10" w:rsidP="00140B10">
      <w:pPr>
        <w:spacing w:after="0" w:line="360" w:lineRule="auto"/>
        <w:jc w:val="right"/>
        <w:rPr>
          <w:rFonts w:ascii="Arial" w:eastAsia="Arial" w:hAnsi="Arial" w:cs="Arial"/>
        </w:rPr>
      </w:pPr>
      <w:r>
        <w:rPr>
          <w:rFonts w:ascii="Arial" w:eastAsia="Arial" w:hAnsi="Arial" w:cs="Arial"/>
        </w:rPr>
        <w:t>Malang, 2</w:t>
      </w:r>
      <w:r w:rsidR="00171BF8">
        <w:rPr>
          <w:rFonts w:ascii="Arial" w:eastAsia="Arial" w:hAnsi="Arial" w:cs="Arial"/>
        </w:rPr>
        <w:t>5</w:t>
      </w:r>
      <w:r>
        <w:rPr>
          <w:rFonts w:ascii="Arial" w:eastAsia="Arial" w:hAnsi="Arial" w:cs="Arial"/>
        </w:rPr>
        <w:t xml:space="preserve"> September 2021</w:t>
      </w:r>
    </w:p>
    <w:p w14:paraId="385CB20C" w14:textId="77777777" w:rsidR="007C1D28" w:rsidRDefault="007C1D28">
      <w:pPr>
        <w:spacing w:after="0" w:line="360" w:lineRule="auto"/>
        <w:rPr>
          <w:rFonts w:ascii="Arial" w:eastAsia="Arial" w:hAnsi="Arial" w:cs="Arial"/>
        </w:rPr>
      </w:pPr>
    </w:p>
    <w:p w14:paraId="57275272" w14:textId="77777777" w:rsidR="007C1D28" w:rsidRDefault="003747DD">
      <w:pPr>
        <w:spacing w:after="0" w:line="360" w:lineRule="auto"/>
        <w:rPr>
          <w:rFonts w:ascii="Arial" w:eastAsia="Arial" w:hAnsi="Arial" w:cs="Arial"/>
        </w:rPr>
      </w:pPr>
      <w:r>
        <w:rPr>
          <w:rFonts w:ascii="Arial" w:eastAsia="Arial" w:hAnsi="Arial" w:cs="Arial"/>
        </w:rPr>
        <w:t>Dear Editor of Indonesian Journal of Chemistry,</w:t>
      </w:r>
    </w:p>
    <w:p w14:paraId="1A92C252" w14:textId="77777777" w:rsidR="007C1D28" w:rsidRDefault="007C1D28">
      <w:pPr>
        <w:spacing w:after="0" w:line="360" w:lineRule="auto"/>
        <w:rPr>
          <w:rFonts w:ascii="Arial" w:eastAsia="Arial" w:hAnsi="Arial" w:cs="Arial"/>
        </w:rPr>
      </w:pPr>
    </w:p>
    <w:p w14:paraId="01744A45" w14:textId="79989FFB" w:rsidR="00B077E2" w:rsidRPr="00B077E2" w:rsidRDefault="003747DD" w:rsidP="00B077E2">
      <w:pPr>
        <w:spacing w:after="0" w:line="360" w:lineRule="auto"/>
        <w:jc w:val="both"/>
        <w:rPr>
          <w:rFonts w:ascii="Arial" w:eastAsia="Arial" w:hAnsi="Arial" w:cs="Arial"/>
        </w:rPr>
      </w:pPr>
      <w:r>
        <w:rPr>
          <w:rFonts w:ascii="Arial" w:eastAsia="Arial" w:hAnsi="Arial" w:cs="Arial"/>
        </w:rPr>
        <w:t xml:space="preserve">We wish to submit an original research article entitled </w:t>
      </w:r>
      <w:r w:rsidRPr="00140B10">
        <w:rPr>
          <w:rFonts w:ascii="Arial" w:eastAsia="Arial" w:hAnsi="Arial" w:cs="Arial"/>
          <w:b/>
          <w:bCs/>
        </w:rPr>
        <w:t>“</w:t>
      </w:r>
      <w:r w:rsidR="00140B10" w:rsidRPr="00140B10">
        <w:rPr>
          <w:rFonts w:ascii="Arial" w:eastAsia="Arial" w:hAnsi="Arial" w:cs="Arial"/>
          <w:b/>
          <w:bCs/>
        </w:rPr>
        <w:t xml:space="preserve">IN VITRO ALPHA AMYLASE INHIBITORY ACTIVITY OF MICROENCAPSULATED Cosmos </w:t>
      </w:r>
      <w:proofErr w:type="spellStart"/>
      <w:r w:rsidR="00140B10" w:rsidRPr="00140B10">
        <w:rPr>
          <w:rFonts w:ascii="Arial" w:eastAsia="Arial" w:hAnsi="Arial" w:cs="Arial"/>
          <w:b/>
          <w:bCs/>
        </w:rPr>
        <w:t>Caudatus</w:t>
      </w:r>
      <w:proofErr w:type="spellEnd"/>
      <w:r w:rsidR="00140B10" w:rsidRPr="00140B10">
        <w:rPr>
          <w:rFonts w:ascii="Arial" w:eastAsia="Arial" w:hAnsi="Arial" w:cs="Arial"/>
          <w:b/>
          <w:bCs/>
        </w:rPr>
        <w:t xml:space="preserve"> </w:t>
      </w:r>
      <w:proofErr w:type="spellStart"/>
      <w:r w:rsidR="00140B10" w:rsidRPr="00140B10">
        <w:rPr>
          <w:rFonts w:ascii="Arial" w:eastAsia="Arial" w:hAnsi="Arial" w:cs="Arial"/>
          <w:b/>
          <w:bCs/>
        </w:rPr>
        <w:t>Kunth</w:t>
      </w:r>
      <w:proofErr w:type="spellEnd"/>
      <w:r w:rsidR="00140B10" w:rsidRPr="00140B10">
        <w:rPr>
          <w:rFonts w:ascii="Arial" w:eastAsia="Arial" w:hAnsi="Arial" w:cs="Arial"/>
          <w:b/>
          <w:bCs/>
        </w:rPr>
        <w:t xml:space="preserve"> EXTRACTS</w:t>
      </w:r>
      <w:r>
        <w:rPr>
          <w:rFonts w:ascii="Arial" w:eastAsia="Arial" w:hAnsi="Arial" w:cs="Arial"/>
        </w:rPr>
        <w:t>” for consideration by the Indonesian Journal of Chemistry. We confirm that the written manuscript is original, and no part of it has been published before, nor is any part of it currently under consideration for publication elsewhere.</w:t>
      </w:r>
      <w:r w:rsidR="00B077E2">
        <w:rPr>
          <w:rFonts w:ascii="Arial" w:eastAsia="Arial" w:hAnsi="Arial" w:cs="Arial"/>
        </w:rPr>
        <w:t xml:space="preserve">  </w:t>
      </w:r>
      <w:r w:rsidR="00B077E2" w:rsidRPr="00B077E2">
        <w:rPr>
          <w:rFonts w:ascii="Arial" w:eastAsia="Arial" w:hAnsi="Arial" w:cs="Arial"/>
        </w:rPr>
        <w:t xml:space="preserve">All authors approved the manuscript and this submission. </w:t>
      </w:r>
    </w:p>
    <w:p w14:paraId="43D42C71" w14:textId="77777777" w:rsidR="00B077E2" w:rsidRDefault="00B077E2" w:rsidP="00B077E2">
      <w:pPr>
        <w:spacing w:after="0" w:line="360" w:lineRule="auto"/>
        <w:jc w:val="both"/>
        <w:rPr>
          <w:rFonts w:ascii="Arial" w:eastAsia="Arial" w:hAnsi="Arial" w:cs="Arial"/>
        </w:rPr>
      </w:pPr>
    </w:p>
    <w:p w14:paraId="6551D829" w14:textId="04CF4C92" w:rsidR="00B077E2" w:rsidRPr="00B077E2" w:rsidRDefault="00B077E2" w:rsidP="00B077E2">
      <w:pPr>
        <w:spacing w:after="0" w:line="360" w:lineRule="auto"/>
        <w:jc w:val="both"/>
        <w:rPr>
          <w:rFonts w:ascii="Arial" w:eastAsia="Arial" w:hAnsi="Arial" w:cs="Arial"/>
        </w:rPr>
      </w:pPr>
      <w:r w:rsidRPr="00B077E2">
        <w:rPr>
          <w:rFonts w:ascii="Arial" w:eastAsia="Arial" w:hAnsi="Arial" w:cs="Arial"/>
        </w:rPr>
        <w:t xml:space="preserve">In this paper, we report the preparation of spray-drying microencapsulation and evaluate the antidiabetic ability of microencapsulated </w:t>
      </w:r>
      <w:r w:rsidRPr="00B077E2">
        <w:rPr>
          <w:rFonts w:ascii="Arial" w:eastAsia="Arial" w:hAnsi="Arial" w:cs="Arial"/>
          <w:i/>
          <w:iCs/>
        </w:rPr>
        <w:t xml:space="preserve">Cosmos </w:t>
      </w:r>
      <w:proofErr w:type="spellStart"/>
      <w:r w:rsidRPr="00B077E2">
        <w:rPr>
          <w:rFonts w:ascii="Arial" w:eastAsia="Arial" w:hAnsi="Arial" w:cs="Arial"/>
          <w:i/>
          <w:iCs/>
        </w:rPr>
        <w:t>caudatus</w:t>
      </w:r>
      <w:proofErr w:type="spellEnd"/>
      <w:r w:rsidRPr="00B077E2">
        <w:rPr>
          <w:rFonts w:ascii="Arial" w:eastAsia="Arial" w:hAnsi="Arial" w:cs="Arial"/>
        </w:rPr>
        <w:t xml:space="preserve"> </w:t>
      </w:r>
      <w:proofErr w:type="spellStart"/>
      <w:r w:rsidRPr="00B077E2">
        <w:rPr>
          <w:rFonts w:ascii="Arial" w:eastAsia="Arial" w:hAnsi="Arial" w:cs="Arial"/>
        </w:rPr>
        <w:t>Kunth</w:t>
      </w:r>
      <w:proofErr w:type="spellEnd"/>
      <w:r w:rsidRPr="00B077E2">
        <w:rPr>
          <w:rFonts w:ascii="Arial" w:eastAsia="Arial" w:hAnsi="Arial" w:cs="Arial"/>
        </w:rPr>
        <w:t xml:space="preserve"> extracts on in vitro alpha amylase inhibitory activity test. </w:t>
      </w:r>
      <w:r w:rsidRPr="00B077E2">
        <w:rPr>
          <w:rFonts w:ascii="Arial" w:eastAsia="Arial" w:hAnsi="Arial" w:cs="Arial"/>
          <w:i/>
          <w:iCs/>
        </w:rPr>
        <w:t xml:space="preserve">Cosmos </w:t>
      </w:r>
      <w:proofErr w:type="spellStart"/>
      <w:r w:rsidRPr="00B077E2">
        <w:rPr>
          <w:rFonts w:ascii="Arial" w:eastAsia="Arial" w:hAnsi="Arial" w:cs="Arial"/>
          <w:i/>
          <w:iCs/>
        </w:rPr>
        <w:t>caudatus</w:t>
      </w:r>
      <w:proofErr w:type="spellEnd"/>
      <w:r w:rsidRPr="00B077E2">
        <w:rPr>
          <w:rFonts w:ascii="Arial" w:eastAsia="Arial" w:hAnsi="Arial" w:cs="Arial"/>
        </w:rPr>
        <w:t xml:space="preserve"> </w:t>
      </w:r>
      <w:proofErr w:type="spellStart"/>
      <w:r w:rsidRPr="00B077E2">
        <w:rPr>
          <w:rFonts w:ascii="Arial" w:eastAsia="Arial" w:hAnsi="Arial" w:cs="Arial"/>
        </w:rPr>
        <w:t>Kunth</w:t>
      </w:r>
      <w:proofErr w:type="spellEnd"/>
      <w:r w:rsidRPr="00B077E2">
        <w:rPr>
          <w:rFonts w:ascii="Arial" w:eastAsia="Arial" w:hAnsi="Arial" w:cs="Arial"/>
        </w:rPr>
        <w:t xml:space="preserve"> is an edible plant and is usually consumed as fresh vegetables or as a complement to vegetables without being used for medicinal purposes. The work has successfully developed microencapsulation of </w:t>
      </w:r>
      <w:r w:rsidRPr="00B077E2">
        <w:rPr>
          <w:rFonts w:ascii="Arial" w:eastAsia="Arial" w:hAnsi="Arial" w:cs="Arial"/>
          <w:i/>
          <w:iCs/>
        </w:rPr>
        <w:t xml:space="preserve">Cosmos </w:t>
      </w:r>
      <w:proofErr w:type="spellStart"/>
      <w:r w:rsidRPr="00B077E2">
        <w:rPr>
          <w:rFonts w:ascii="Arial" w:eastAsia="Arial" w:hAnsi="Arial" w:cs="Arial"/>
          <w:i/>
          <w:iCs/>
        </w:rPr>
        <w:t>caudatus</w:t>
      </w:r>
      <w:proofErr w:type="spellEnd"/>
      <w:r w:rsidRPr="00B077E2">
        <w:rPr>
          <w:rFonts w:ascii="Arial" w:eastAsia="Arial" w:hAnsi="Arial" w:cs="Arial"/>
        </w:rPr>
        <w:t xml:space="preserve"> </w:t>
      </w:r>
      <w:proofErr w:type="spellStart"/>
      <w:r w:rsidRPr="00B077E2">
        <w:rPr>
          <w:rFonts w:ascii="Arial" w:eastAsia="Arial" w:hAnsi="Arial" w:cs="Arial"/>
        </w:rPr>
        <w:t>Kunth</w:t>
      </w:r>
      <w:proofErr w:type="spellEnd"/>
      <w:r w:rsidRPr="00B077E2">
        <w:rPr>
          <w:rFonts w:ascii="Arial" w:eastAsia="Arial" w:hAnsi="Arial" w:cs="Arial"/>
        </w:rPr>
        <w:t xml:space="preserve"> extracts under variation</w:t>
      </w:r>
      <w:r>
        <w:rPr>
          <w:rFonts w:ascii="Arial" w:eastAsia="Arial" w:hAnsi="Arial" w:cs="Arial"/>
        </w:rPr>
        <w:t>s</w:t>
      </w:r>
      <w:r w:rsidRPr="00B077E2">
        <w:rPr>
          <w:rFonts w:ascii="Arial" w:eastAsia="Arial" w:hAnsi="Arial" w:cs="Arial"/>
        </w:rPr>
        <w:t xml:space="preserve"> of pH, chitosan concentration, and stirring time. The microencapsulated products were characterized by FTIR, PSA, and SEM analyses. The microencapsulation of </w:t>
      </w:r>
      <w:r w:rsidRPr="00B077E2">
        <w:rPr>
          <w:rFonts w:ascii="Arial" w:eastAsia="Arial" w:hAnsi="Arial" w:cs="Arial"/>
          <w:i/>
          <w:iCs/>
        </w:rPr>
        <w:t xml:space="preserve">Cosmos </w:t>
      </w:r>
      <w:proofErr w:type="spellStart"/>
      <w:r w:rsidRPr="00B077E2">
        <w:rPr>
          <w:rFonts w:ascii="Arial" w:eastAsia="Arial" w:hAnsi="Arial" w:cs="Arial"/>
          <w:i/>
          <w:iCs/>
        </w:rPr>
        <w:t>caudatus</w:t>
      </w:r>
      <w:proofErr w:type="spellEnd"/>
      <w:r w:rsidRPr="00B077E2">
        <w:rPr>
          <w:rFonts w:ascii="Arial" w:eastAsia="Arial" w:hAnsi="Arial" w:cs="Arial"/>
        </w:rPr>
        <w:t xml:space="preserve"> </w:t>
      </w:r>
      <w:proofErr w:type="spellStart"/>
      <w:r w:rsidRPr="00B077E2">
        <w:rPr>
          <w:rFonts w:ascii="Arial" w:eastAsia="Arial" w:hAnsi="Arial" w:cs="Arial"/>
        </w:rPr>
        <w:t>Kunth</w:t>
      </w:r>
      <w:proofErr w:type="spellEnd"/>
      <w:r w:rsidRPr="00B077E2">
        <w:rPr>
          <w:rFonts w:ascii="Arial" w:eastAsia="Arial" w:hAnsi="Arial" w:cs="Arial"/>
        </w:rPr>
        <w:t xml:space="preserve"> resulted in high in vitro alpha amylase inhibition with the IC</w:t>
      </w:r>
      <w:r w:rsidRPr="00B077E2">
        <w:rPr>
          <w:rFonts w:ascii="Arial" w:eastAsia="Arial" w:hAnsi="Arial" w:cs="Arial"/>
          <w:vertAlign w:val="subscript"/>
        </w:rPr>
        <w:t>50</w:t>
      </w:r>
      <w:r w:rsidRPr="00B077E2">
        <w:rPr>
          <w:rFonts w:ascii="Arial" w:eastAsia="Arial" w:hAnsi="Arial" w:cs="Arial"/>
        </w:rPr>
        <w:t xml:space="preserve"> value of 92.85 ± 1.21 </w:t>
      </w:r>
      <w:proofErr w:type="spellStart"/>
      <w:r w:rsidRPr="00B077E2">
        <w:rPr>
          <w:rFonts w:ascii="Arial" w:eastAsia="Arial" w:hAnsi="Arial" w:cs="Arial"/>
        </w:rPr>
        <w:t>μg</w:t>
      </w:r>
      <w:proofErr w:type="spellEnd"/>
      <w:r w:rsidRPr="00B077E2">
        <w:rPr>
          <w:rFonts w:ascii="Arial" w:eastAsia="Arial" w:hAnsi="Arial" w:cs="Arial"/>
        </w:rPr>
        <w:t>/</w:t>
      </w:r>
      <w:proofErr w:type="spellStart"/>
      <w:r w:rsidRPr="00B077E2">
        <w:rPr>
          <w:rFonts w:ascii="Arial" w:eastAsia="Arial" w:hAnsi="Arial" w:cs="Arial"/>
        </w:rPr>
        <w:t>mL.</w:t>
      </w:r>
      <w:proofErr w:type="spellEnd"/>
      <w:r w:rsidRPr="00B077E2">
        <w:rPr>
          <w:rFonts w:ascii="Arial" w:eastAsia="Arial" w:hAnsi="Arial" w:cs="Arial"/>
        </w:rPr>
        <w:t xml:space="preserve"> The FTIR analysis showed that cross-linking was developed between chitosan and Na-TPP. The morphological analysis by SEM indicated that the surface of encapsulated extracts was rough and mostly spherical with the mean diameter of 35.26 </w:t>
      </w:r>
      <w:r>
        <w:rPr>
          <w:rFonts w:ascii="Arial" w:eastAsia="Arial" w:hAnsi="Arial" w:cs="Arial"/>
        </w:rPr>
        <w:sym w:font="Symbol" w:char="F06D"/>
      </w:r>
      <w:r w:rsidRPr="00B077E2">
        <w:rPr>
          <w:rFonts w:ascii="Arial" w:eastAsia="Arial" w:hAnsi="Arial" w:cs="Arial"/>
        </w:rPr>
        <w:t xml:space="preserve">m. This is for the first time that ethanolic leaves extracts of </w:t>
      </w:r>
      <w:r w:rsidRPr="00B077E2">
        <w:rPr>
          <w:rFonts w:ascii="Arial" w:eastAsia="Arial" w:hAnsi="Arial" w:cs="Arial"/>
          <w:i/>
          <w:iCs/>
        </w:rPr>
        <w:t xml:space="preserve">Cosmos </w:t>
      </w:r>
      <w:proofErr w:type="spellStart"/>
      <w:r w:rsidRPr="00B077E2">
        <w:rPr>
          <w:rFonts w:ascii="Arial" w:eastAsia="Arial" w:hAnsi="Arial" w:cs="Arial"/>
          <w:i/>
          <w:iCs/>
        </w:rPr>
        <w:t>caudatus</w:t>
      </w:r>
      <w:proofErr w:type="spellEnd"/>
      <w:r w:rsidRPr="00B077E2">
        <w:rPr>
          <w:rFonts w:ascii="Arial" w:eastAsia="Arial" w:hAnsi="Arial" w:cs="Arial"/>
        </w:rPr>
        <w:t xml:space="preserve"> </w:t>
      </w:r>
      <w:proofErr w:type="spellStart"/>
      <w:r w:rsidRPr="00B077E2">
        <w:rPr>
          <w:rFonts w:ascii="Arial" w:eastAsia="Arial" w:hAnsi="Arial" w:cs="Arial"/>
        </w:rPr>
        <w:t>Kunth</w:t>
      </w:r>
      <w:proofErr w:type="spellEnd"/>
      <w:r w:rsidRPr="00B077E2">
        <w:rPr>
          <w:rFonts w:ascii="Arial" w:eastAsia="Arial" w:hAnsi="Arial" w:cs="Arial"/>
        </w:rPr>
        <w:t xml:space="preserve"> are encapsulated and tested for their biological activity. Therefore, this paper should be of interest to readers in the areas of </w:t>
      </w:r>
      <w:r>
        <w:rPr>
          <w:rFonts w:ascii="Arial" w:eastAsia="Arial" w:hAnsi="Arial" w:cs="Arial"/>
        </w:rPr>
        <w:t>chemistry and applied chemistry.</w:t>
      </w:r>
    </w:p>
    <w:p w14:paraId="1E1F8E48" w14:textId="77777777" w:rsidR="00B077E2" w:rsidRDefault="00B077E2" w:rsidP="00B077E2">
      <w:pPr>
        <w:spacing w:after="0" w:line="360" w:lineRule="auto"/>
        <w:jc w:val="both"/>
        <w:rPr>
          <w:rFonts w:ascii="Arial" w:eastAsia="Arial" w:hAnsi="Arial" w:cs="Arial"/>
        </w:rPr>
      </w:pPr>
    </w:p>
    <w:p w14:paraId="0FDE8559" w14:textId="1FB92DD2" w:rsidR="00B077E2" w:rsidRPr="00B077E2" w:rsidRDefault="00B077E2" w:rsidP="00B077E2">
      <w:pPr>
        <w:spacing w:after="0" w:line="360" w:lineRule="auto"/>
        <w:jc w:val="both"/>
        <w:rPr>
          <w:rFonts w:ascii="Arial" w:eastAsia="Arial" w:hAnsi="Arial" w:cs="Arial"/>
        </w:rPr>
      </w:pPr>
      <w:r w:rsidRPr="00B077E2">
        <w:rPr>
          <w:rFonts w:ascii="Arial" w:eastAsia="Arial" w:hAnsi="Arial" w:cs="Arial"/>
        </w:rPr>
        <w:t>Thank you for your consideration of this manuscript.</w:t>
      </w:r>
    </w:p>
    <w:p w14:paraId="66AE6E36" w14:textId="77777777" w:rsidR="00B077E2" w:rsidRPr="00B077E2" w:rsidRDefault="00B077E2" w:rsidP="00B077E2">
      <w:pPr>
        <w:spacing w:after="0" w:line="360" w:lineRule="auto"/>
        <w:jc w:val="both"/>
        <w:rPr>
          <w:rFonts w:ascii="Arial" w:eastAsia="Arial" w:hAnsi="Arial" w:cs="Arial"/>
        </w:rPr>
      </w:pPr>
      <w:r w:rsidRPr="00B077E2">
        <w:rPr>
          <w:rFonts w:ascii="Arial" w:eastAsia="Arial" w:hAnsi="Arial" w:cs="Arial"/>
        </w:rPr>
        <w:t>Sincerely yours</w:t>
      </w:r>
    </w:p>
    <w:p w14:paraId="4CC70760" w14:textId="77777777" w:rsidR="00B077E2" w:rsidRPr="00B077E2" w:rsidRDefault="00B077E2" w:rsidP="00B077E2">
      <w:pPr>
        <w:spacing w:after="0" w:line="360" w:lineRule="auto"/>
        <w:jc w:val="both"/>
        <w:rPr>
          <w:rFonts w:ascii="Arial" w:eastAsia="Arial" w:hAnsi="Arial" w:cs="Arial"/>
        </w:rPr>
      </w:pPr>
      <w:r w:rsidRPr="00B077E2">
        <w:rPr>
          <w:rFonts w:ascii="Arial" w:eastAsia="Arial" w:hAnsi="Arial" w:cs="Arial"/>
        </w:rPr>
        <w:t xml:space="preserve">Anna </w:t>
      </w:r>
      <w:proofErr w:type="spellStart"/>
      <w:r w:rsidRPr="00B077E2">
        <w:rPr>
          <w:rFonts w:ascii="Arial" w:eastAsia="Arial" w:hAnsi="Arial" w:cs="Arial"/>
        </w:rPr>
        <w:t>Safitri</w:t>
      </w:r>
      <w:proofErr w:type="spellEnd"/>
      <w:r w:rsidRPr="00B077E2">
        <w:rPr>
          <w:rFonts w:ascii="Arial" w:eastAsia="Arial" w:hAnsi="Arial" w:cs="Arial"/>
        </w:rPr>
        <w:t xml:space="preserve">, </w:t>
      </w:r>
      <w:proofErr w:type="spellStart"/>
      <w:proofErr w:type="gramStart"/>
      <w:r w:rsidRPr="00B077E2">
        <w:rPr>
          <w:rFonts w:ascii="Arial" w:eastAsia="Arial" w:hAnsi="Arial" w:cs="Arial"/>
        </w:rPr>
        <w:t>Ph.D</w:t>
      </w:r>
      <w:proofErr w:type="spellEnd"/>
      <w:proofErr w:type="gramEnd"/>
    </w:p>
    <w:p w14:paraId="0A72CE16" w14:textId="77777777" w:rsidR="00B077E2" w:rsidRPr="00B077E2" w:rsidRDefault="00B077E2" w:rsidP="00B077E2">
      <w:pPr>
        <w:spacing w:after="0" w:line="360" w:lineRule="auto"/>
        <w:jc w:val="both"/>
        <w:rPr>
          <w:rFonts w:ascii="Arial" w:eastAsia="Arial" w:hAnsi="Arial" w:cs="Arial"/>
        </w:rPr>
      </w:pPr>
      <w:r w:rsidRPr="00B077E2">
        <w:rPr>
          <w:rFonts w:ascii="Arial" w:eastAsia="Arial" w:hAnsi="Arial" w:cs="Arial"/>
        </w:rPr>
        <w:t>Chemistry Department, Faculty of Mathematics and Natural Sciences</w:t>
      </w:r>
    </w:p>
    <w:p w14:paraId="7158DE28" w14:textId="77777777" w:rsidR="00B077E2" w:rsidRPr="00B077E2" w:rsidRDefault="00B077E2" w:rsidP="00B077E2">
      <w:pPr>
        <w:spacing w:after="0" w:line="360" w:lineRule="auto"/>
        <w:jc w:val="both"/>
        <w:rPr>
          <w:rFonts w:ascii="Arial" w:eastAsia="Arial" w:hAnsi="Arial" w:cs="Arial"/>
        </w:rPr>
      </w:pPr>
      <w:proofErr w:type="spellStart"/>
      <w:r w:rsidRPr="00B077E2">
        <w:rPr>
          <w:rFonts w:ascii="Arial" w:eastAsia="Arial" w:hAnsi="Arial" w:cs="Arial"/>
        </w:rPr>
        <w:t>Brawijaya</w:t>
      </w:r>
      <w:proofErr w:type="spellEnd"/>
      <w:r w:rsidRPr="00B077E2">
        <w:rPr>
          <w:rFonts w:ascii="Arial" w:eastAsia="Arial" w:hAnsi="Arial" w:cs="Arial"/>
        </w:rPr>
        <w:t xml:space="preserve"> University.</w:t>
      </w:r>
    </w:p>
    <w:p w14:paraId="7E9DBB8E" w14:textId="77777777" w:rsidR="00B077E2" w:rsidRPr="00B077E2" w:rsidRDefault="00B077E2" w:rsidP="00B077E2">
      <w:pPr>
        <w:spacing w:after="0" w:line="360" w:lineRule="auto"/>
        <w:jc w:val="both"/>
        <w:rPr>
          <w:rFonts w:ascii="Arial" w:eastAsia="Arial" w:hAnsi="Arial" w:cs="Arial"/>
        </w:rPr>
      </w:pPr>
      <w:r w:rsidRPr="00B077E2">
        <w:rPr>
          <w:rFonts w:ascii="Arial" w:eastAsia="Arial" w:hAnsi="Arial" w:cs="Arial"/>
        </w:rPr>
        <w:t>Jl. Veteran No 1, Malang, East Java, 65145, INDONESIA</w:t>
      </w:r>
    </w:p>
    <w:p w14:paraId="0969BFCB" w14:textId="04313E49" w:rsidR="007C1D28" w:rsidRDefault="00B077E2" w:rsidP="00B077E2">
      <w:pPr>
        <w:spacing w:after="0" w:line="360" w:lineRule="auto"/>
        <w:jc w:val="both"/>
        <w:rPr>
          <w:rFonts w:ascii="Arial" w:eastAsia="Arial" w:hAnsi="Arial" w:cs="Arial"/>
        </w:rPr>
        <w:sectPr w:rsidR="007C1D28" w:rsidSect="00B077E2">
          <w:pgSz w:w="11900" w:h="16840"/>
          <w:pgMar w:top="1440" w:right="1440" w:bottom="1440" w:left="1440" w:header="720" w:footer="720" w:gutter="0"/>
          <w:pgNumType w:start="1"/>
          <w:cols w:space="720"/>
          <w:docGrid w:linePitch="299"/>
        </w:sectPr>
      </w:pPr>
      <w:r w:rsidRPr="00B077E2">
        <w:rPr>
          <w:rFonts w:ascii="Arial" w:eastAsia="Arial" w:hAnsi="Arial" w:cs="Arial"/>
        </w:rPr>
        <w:t>Email address: a.safitri@ub.ac.id; Phone: +62 81 235367181</w:t>
      </w:r>
    </w:p>
    <w:p w14:paraId="38EF75A2" w14:textId="77777777" w:rsidR="007C1D28" w:rsidRDefault="003747DD">
      <w:pPr>
        <w:spacing w:after="0" w:line="360" w:lineRule="auto"/>
        <w:jc w:val="center"/>
        <w:rPr>
          <w:rFonts w:ascii="Arial" w:eastAsia="Arial" w:hAnsi="Arial" w:cs="Arial"/>
          <w:b/>
        </w:rPr>
      </w:pPr>
      <w:r>
        <w:rPr>
          <w:rFonts w:ascii="Arial" w:eastAsia="Arial" w:hAnsi="Arial" w:cs="Arial"/>
          <w:b/>
        </w:rPr>
        <w:lastRenderedPageBreak/>
        <w:t>List of Potential Reviewers</w:t>
      </w:r>
    </w:p>
    <w:p w14:paraId="5580AC1B" w14:textId="77777777" w:rsidR="007C1D28" w:rsidRDefault="003747DD">
      <w:pPr>
        <w:spacing w:after="0" w:line="360" w:lineRule="auto"/>
        <w:jc w:val="both"/>
        <w:rPr>
          <w:rFonts w:ascii="Arial" w:eastAsia="Arial" w:hAnsi="Arial" w:cs="Arial"/>
          <w:b/>
        </w:rPr>
      </w:pPr>
      <w:r>
        <w:rPr>
          <w:rFonts w:ascii="Arial" w:eastAsia="Arial" w:hAnsi="Arial" w:cs="Arial"/>
          <w:b/>
        </w:rPr>
        <w:t>Note:</w:t>
      </w:r>
    </w:p>
    <w:p w14:paraId="445762FF" w14:textId="77777777" w:rsidR="007C1D28" w:rsidRDefault="003747DD">
      <w:pPr>
        <w:tabs>
          <w:tab w:val="left" w:pos="284"/>
        </w:tabs>
        <w:spacing w:after="0" w:line="360" w:lineRule="auto"/>
        <w:jc w:val="both"/>
        <w:rPr>
          <w:rFonts w:ascii="Arial" w:eastAsia="Arial" w:hAnsi="Arial" w:cs="Arial"/>
        </w:rPr>
      </w:pPr>
      <w:r>
        <w:rPr>
          <w:rFonts w:ascii="Arial" w:eastAsia="Arial" w:hAnsi="Arial" w:cs="Arial"/>
        </w:rPr>
        <w:t>1.</w:t>
      </w:r>
      <w:r>
        <w:rPr>
          <w:rFonts w:ascii="Arial" w:eastAsia="Arial" w:hAnsi="Arial" w:cs="Arial"/>
        </w:rPr>
        <w:tab/>
        <w:t>Reviewers should not be from the same institution as authors.</w:t>
      </w:r>
    </w:p>
    <w:p w14:paraId="677DACA6" w14:textId="77777777" w:rsidR="007C1D28" w:rsidRDefault="003747DD">
      <w:pPr>
        <w:tabs>
          <w:tab w:val="left" w:pos="284"/>
        </w:tabs>
        <w:spacing w:after="0" w:line="360" w:lineRule="auto"/>
        <w:jc w:val="both"/>
        <w:rPr>
          <w:rFonts w:ascii="Arial" w:eastAsia="Arial" w:hAnsi="Arial" w:cs="Arial"/>
        </w:rPr>
      </w:pPr>
      <w:r>
        <w:rPr>
          <w:rFonts w:ascii="Arial" w:eastAsia="Arial" w:hAnsi="Arial" w:cs="Arial"/>
        </w:rPr>
        <w:t>2.</w:t>
      </w:r>
      <w:r>
        <w:rPr>
          <w:rFonts w:ascii="Arial" w:eastAsia="Arial" w:hAnsi="Arial" w:cs="Arial"/>
        </w:rPr>
        <w:tab/>
        <w:t>Reviewers have no research collaboration with authors in the last three years.</w:t>
      </w:r>
    </w:p>
    <w:p w14:paraId="5B55383E" w14:textId="77777777" w:rsidR="007C1D28" w:rsidRDefault="003747DD">
      <w:pPr>
        <w:tabs>
          <w:tab w:val="left" w:pos="284"/>
        </w:tabs>
        <w:spacing w:after="0" w:line="360" w:lineRule="auto"/>
        <w:jc w:val="both"/>
        <w:rPr>
          <w:rFonts w:ascii="Arial" w:eastAsia="Arial" w:hAnsi="Arial" w:cs="Arial"/>
        </w:rPr>
      </w:pPr>
      <w:bookmarkStart w:id="0" w:name="_heading=h.30j0zll" w:colFirst="0" w:colLast="0"/>
      <w:bookmarkEnd w:id="0"/>
      <w:r>
        <w:rPr>
          <w:rFonts w:ascii="Arial" w:eastAsia="Arial" w:hAnsi="Arial" w:cs="Arial"/>
        </w:rPr>
        <w:t>3.</w:t>
      </w:r>
      <w:r>
        <w:rPr>
          <w:rFonts w:ascii="Arial" w:eastAsia="Arial" w:hAnsi="Arial" w:cs="Arial"/>
        </w:rPr>
        <w:tab/>
        <w:t>If possible, reviewers have a different nationality.</w:t>
      </w:r>
    </w:p>
    <w:p w14:paraId="6F5B777D" w14:textId="77777777" w:rsidR="007C1D28" w:rsidRDefault="003747DD">
      <w:pPr>
        <w:tabs>
          <w:tab w:val="left" w:pos="284"/>
        </w:tabs>
        <w:spacing w:after="0" w:line="360" w:lineRule="auto"/>
        <w:jc w:val="both"/>
        <w:rPr>
          <w:rFonts w:ascii="Arial" w:eastAsia="Arial" w:hAnsi="Arial" w:cs="Arial"/>
        </w:rPr>
      </w:pPr>
      <w:r>
        <w:rPr>
          <w:rFonts w:ascii="Arial" w:eastAsia="Arial" w:hAnsi="Arial" w:cs="Arial"/>
        </w:rPr>
        <w:t>4.</w:t>
      </w:r>
      <w:r>
        <w:rPr>
          <w:rFonts w:ascii="Arial" w:eastAsia="Arial" w:hAnsi="Arial" w:cs="Arial"/>
        </w:rPr>
        <w:tab/>
        <w:t>Final decision of the reviewers will be made by editors.</w:t>
      </w:r>
    </w:p>
    <w:p w14:paraId="2303F5DE" w14:textId="77777777" w:rsidR="007C1D28" w:rsidRDefault="007C1D28">
      <w:pPr>
        <w:spacing w:after="0" w:line="360" w:lineRule="auto"/>
        <w:jc w:val="both"/>
        <w:rPr>
          <w:rFonts w:ascii="Arial" w:eastAsia="Arial" w:hAnsi="Arial" w:cs="Arial"/>
        </w:rPr>
      </w:pPr>
    </w:p>
    <w:tbl>
      <w:tblPr>
        <w:tblStyle w:val="a3"/>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C1D28" w14:paraId="5F7AE1A6" w14:textId="77777777">
        <w:trPr>
          <w:trHeight w:val="420"/>
        </w:trPr>
        <w:tc>
          <w:tcPr>
            <w:tcW w:w="450" w:type="dxa"/>
          </w:tcPr>
          <w:p w14:paraId="69FBF813"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1.</w:t>
            </w:r>
          </w:p>
        </w:tc>
        <w:tc>
          <w:tcPr>
            <w:tcW w:w="2327" w:type="dxa"/>
          </w:tcPr>
          <w:p w14:paraId="0268D41D"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A9DFC88"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69EDB663" w14:textId="26A07403" w:rsidR="007C1D28" w:rsidRDefault="00B077E2">
            <w:pPr>
              <w:pBdr>
                <w:top w:val="nil"/>
                <w:left w:val="nil"/>
                <w:bottom w:val="nil"/>
                <w:right w:val="nil"/>
                <w:between w:val="nil"/>
              </w:pBdr>
              <w:ind w:left="34"/>
              <w:rPr>
                <w:rFonts w:ascii="Arial" w:eastAsia="Arial" w:hAnsi="Arial" w:cs="Arial"/>
                <w:b/>
                <w:color w:val="000000"/>
                <w:sz w:val="22"/>
                <w:szCs w:val="22"/>
              </w:rPr>
            </w:pPr>
            <w:proofErr w:type="spellStart"/>
            <w:r>
              <w:rPr>
                <w:rFonts w:ascii="Arial" w:eastAsia="Arial" w:hAnsi="Arial" w:cs="Arial"/>
                <w:b/>
                <w:color w:val="000000"/>
                <w:sz w:val="22"/>
                <w:szCs w:val="22"/>
              </w:rPr>
              <w:t>Yayuk</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Astuti</w:t>
            </w:r>
            <w:proofErr w:type="spellEnd"/>
            <w:r>
              <w:rPr>
                <w:rFonts w:ascii="Arial" w:eastAsia="Arial" w:hAnsi="Arial" w:cs="Arial"/>
                <w:b/>
                <w:color w:val="000000"/>
                <w:sz w:val="22"/>
                <w:szCs w:val="22"/>
              </w:rPr>
              <w:t xml:space="preserve">, </w:t>
            </w:r>
            <w:proofErr w:type="spellStart"/>
            <w:proofErr w:type="gramStart"/>
            <w:r>
              <w:rPr>
                <w:rFonts w:ascii="Arial" w:eastAsia="Arial" w:hAnsi="Arial" w:cs="Arial"/>
                <w:b/>
                <w:color w:val="000000"/>
                <w:sz w:val="22"/>
                <w:szCs w:val="22"/>
              </w:rPr>
              <w:t>Ph.D</w:t>
            </w:r>
            <w:proofErr w:type="spellEnd"/>
            <w:proofErr w:type="gramEnd"/>
          </w:p>
        </w:tc>
      </w:tr>
      <w:tr w:rsidR="007C1D28" w14:paraId="4785EDCC" w14:textId="77777777">
        <w:trPr>
          <w:trHeight w:val="420"/>
        </w:trPr>
        <w:tc>
          <w:tcPr>
            <w:tcW w:w="450" w:type="dxa"/>
          </w:tcPr>
          <w:p w14:paraId="082F8B3A"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22FCF575"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Affiliation</w:t>
            </w:r>
          </w:p>
        </w:tc>
        <w:tc>
          <w:tcPr>
            <w:tcW w:w="324" w:type="dxa"/>
          </w:tcPr>
          <w:p w14:paraId="5D61449F"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sz w:val="22"/>
                <w:szCs w:val="22"/>
              </w:rPr>
              <w:t>:</w:t>
            </w:r>
          </w:p>
        </w:tc>
        <w:tc>
          <w:tcPr>
            <w:tcW w:w="6259" w:type="dxa"/>
          </w:tcPr>
          <w:p w14:paraId="77926DA9" w14:textId="1C4C1D1A" w:rsidR="007C1D28" w:rsidRDefault="00B077E2">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Universitas </w:t>
            </w:r>
            <w:proofErr w:type="spellStart"/>
            <w:r>
              <w:rPr>
                <w:rFonts w:ascii="Arial" w:eastAsia="Arial" w:hAnsi="Arial" w:cs="Arial"/>
                <w:b/>
                <w:color w:val="000000"/>
                <w:sz w:val="22"/>
                <w:szCs w:val="22"/>
              </w:rPr>
              <w:t>Diponegoro</w:t>
            </w:r>
            <w:proofErr w:type="spellEnd"/>
          </w:p>
        </w:tc>
      </w:tr>
      <w:tr w:rsidR="007C1D28" w14:paraId="00A8344F" w14:textId="77777777">
        <w:trPr>
          <w:trHeight w:val="540"/>
        </w:trPr>
        <w:tc>
          <w:tcPr>
            <w:tcW w:w="450" w:type="dxa"/>
          </w:tcPr>
          <w:p w14:paraId="78007942"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4538C420"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2DC8CFE0"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BDB8C76"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r>
      <w:tr w:rsidR="007C1D28" w14:paraId="41449048" w14:textId="77777777">
        <w:trPr>
          <w:trHeight w:val="420"/>
        </w:trPr>
        <w:tc>
          <w:tcPr>
            <w:tcW w:w="450" w:type="dxa"/>
          </w:tcPr>
          <w:p w14:paraId="4FEB58F8"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12C10A9F"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12C1439E"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1B4BAD50" w14:textId="25AF0825" w:rsidR="007C1D28" w:rsidRDefault="00B077E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yayuk.astuti@live.undip.ac.id</w:t>
            </w:r>
          </w:p>
        </w:tc>
      </w:tr>
      <w:tr w:rsidR="007C1D28" w14:paraId="708E74D3" w14:textId="77777777">
        <w:trPr>
          <w:trHeight w:val="420"/>
        </w:trPr>
        <w:tc>
          <w:tcPr>
            <w:tcW w:w="450" w:type="dxa"/>
          </w:tcPr>
          <w:p w14:paraId="7E5FF929"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42E6A663"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2589ED9F" w14:textId="77777777" w:rsidR="007C1D28" w:rsidRDefault="007C1D28">
            <w:pPr>
              <w:pBdr>
                <w:top w:val="nil"/>
                <w:left w:val="nil"/>
                <w:bottom w:val="nil"/>
                <w:right w:val="nil"/>
                <w:between w:val="nil"/>
              </w:pBdr>
              <w:ind w:left="34"/>
              <w:rPr>
                <w:rFonts w:ascii="Arial" w:eastAsia="Arial" w:hAnsi="Arial" w:cs="Arial"/>
                <w:color w:val="000000"/>
                <w:sz w:val="22"/>
                <w:szCs w:val="22"/>
              </w:rPr>
            </w:pPr>
          </w:p>
          <w:p w14:paraId="376DB571"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6D6913D" w14:textId="6D5152E3" w:rsidR="007C1D28" w:rsidRDefault="00B077E2">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Chemistry (physical and inorganic chemistry)</w:t>
            </w:r>
          </w:p>
        </w:tc>
      </w:tr>
    </w:tbl>
    <w:p w14:paraId="2424AE2D" w14:textId="77777777" w:rsidR="007C1D28" w:rsidRDefault="007C1D28">
      <w:pPr>
        <w:spacing w:after="0" w:line="240" w:lineRule="auto"/>
        <w:jc w:val="both"/>
        <w:rPr>
          <w:rFonts w:ascii="Arial" w:eastAsia="Arial" w:hAnsi="Arial" w:cs="Arial"/>
        </w:rPr>
      </w:pPr>
    </w:p>
    <w:tbl>
      <w:tblPr>
        <w:tblStyle w:val="a4"/>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C1D28" w14:paraId="56B7E2F1" w14:textId="77777777">
        <w:trPr>
          <w:trHeight w:val="420"/>
        </w:trPr>
        <w:tc>
          <w:tcPr>
            <w:tcW w:w="450" w:type="dxa"/>
          </w:tcPr>
          <w:p w14:paraId="2E3AC100"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2.</w:t>
            </w:r>
          </w:p>
        </w:tc>
        <w:tc>
          <w:tcPr>
            <w:tcW w:w="2327" w:type="dxa"/>
          </w:tcPr>
          <w:p w14:paraId="1F0AEFDF"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01A113CF"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1B819EDA" w14:textId="0BD8BC80" w:rsidR="007C1D28" w:rsidRDefault="00B077E2">
            <w:pPr>
              <w:pBdr>
                <w:top w:val="nil"/>
                <w:left w:val="nil"/>
                <w:bottom w:val="nil"/>
                <w:right w:val="nil"/>
                <w:between w:val="nil"/>
              </w:pBdr>
              <w:ind w:left="34"/>
              <w:rPr>
                <w:rFonts w:ascii="Arial" w:eastAsia="Arial" w:hAnsi="Arial" w:cs="Arial"/>
                <w:b/>
                <w:color w:val="000000"/>
                <w:sz w:val="22"/>
                <w:szCs w:val="22"/>
              </w:rPr>
            </w:pPr>
            <w:proofErr w:type="spellStart"/>
            <w:r>
              <w:rPr>
                <w:rFonts w:ascii="Arial" w:eastAsia="Arial" w:hAnsi="Arial" w:cs="Arial"/>
                <w:b/>
                <w:color w:val="000000"/>
                <w:sz w:val="22"/>
                <w:szCs w:val="22"/>
              </w:rPr>
              <w:t>Evi</w:t>
            </w:r>
            <w:proofErr w:type="spellEnd"/>
            <w:r>
              <w:rPr>
                <w:rFonts w:ascii="Arial" w:eastAsia="Arial" w:hAnsi="Arial" w:cs="Arial"/>
                <w:b/>
                <w:color w:val="000000"/>
                <w:sz w:val="22"/>
                <w:szCs w:val="22"/>
              </w:rPr>
              <w:t xml:space="preserve"> </w:t>
            </w:r>
            <w:proofErr w:type="spellStart"/>
            <w:r>
              <w:rPr>
                <w:rFonts w:ascii="Arial" w:eastAsia="Arial" w:hAnsi="Arial" w:cs="Arial"/>
                <w:b/>
                <w:color w:val="000000"/>
                <w:sz w:val="22"/>
                <w:szCs w:val="22"/>
              </w:rPr>
              <w:t>Susanti</w:t>
            </w:r>
            <w:proofErr w:type="spellEnd"/>
          </w:p>
        </w:tc>
      </w:tr>
      <w:tr w:rsidR="007C1D28" w14:paraId="6BFFE97A" w14:textId="77777777">
        <w:trPr>
          <w:trHeight w:val="420"/>
        </w:trPr>
        <w:tc>
          <w:tcPr>
            <w:tcW w:w="450" w:type="dxa"/>
          </w:tcPr>
          <w:p w14:paraId="678A2368"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397D4BDC" w14:textId="77777777" w:rsidR="007C1D28" w:rsidRDefault="003747DD">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16D41329" w14:textId="77777777" w:rsidR="007C1D28" w:rsidRDefault="003747DD">
            <w:pPr>
              <w:ind w:left="34"/>
              <w:rPr>
                <w:rFonts w:ascii="Arial" w:eastAsia="Arial" w:hAnsi="Arial" w:cs="Arial"/>
                <w:sz w:val="22"/>
                <w:szCs w:val="22"/>
              </w:rPr>
            </w:pPr>
            <w:r>
              <w:rPr>
                <w:rFonts w:ascii="Arial" w:eastAsia="Arial" w:hAnsi="Arial" w:cs="Arial"/>
                <w:sz w:val="22"/>
                <w:szCs w:val="22"/>
              </w:rPr>
              <w:t>:</w:t>
            </w:r>
          </w:p>
        </w:tc>
        <w:tc>
          <w:tcPr>
            <w:tcW w:w="6259" w:type="dxa"/>
          </w:tcPr>
          <w:p w14:paraId="60EFD65F" w14:textId="68730DF0" w:rsidR="007C1D28" w:rsidRDefault="00B077E2">
            <w:pPr>
              <w:ind w:left="34"/>
              <w:rPr>
                <w:rFonts w:ascii="Arial" w:eastAsia="Arial" w:hAnsi="Arial" w:cs="Arial"/>
                <w:b/>
                <w:sz w:val="22"/>
                <w:szCs w:val="22"/>
              </w:rPr>
            </w:pPr>
            <w:r>
              <w:rPr>
                <w:rFonts w:ascii="Arial" w:eastAsia="Arial" w:hAnsi="Arial" w:cs="Arial"/>
                <w:b/>
                <w:sz w:val="22"/>
                <w:szCs w:val="22"/>
              </w:rPr>
              <w:t>Universitas Negeri Malang</w:t>
            </w:r>
          </w:p>
        </w:tc>
      </w:tr>
      <w:tr w:rsidR="007C1D28" w14:paraId="28F757F1" w14:textId="77777777">
        <w:trPr>
          <w:trHeight w:val="540"/>
        </w:trPr>
        <w:tc>
          <w:tcPr>
            <w:tcW w:w="450" w:type="dxa"/>
          </w:tcPr>
          <w:p w14:paraId="53ACEDE5"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2C2F5EB5"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30510A8A"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00E203C"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r>
      <w:tr w:rsidR="007C1D28" w14:paraId="1925BD5B" w14:textId="77777777">
        <w:trPr>
          <w:trHeight w:val="420"/>
        </w:trPr>
        <w:tc>
          <w:tcPr>
            <w:tcW w:w="450" w:type="dxa"/>
          </w:tcPr>
          <w:p w14:paraId="33F59098"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6EB8DB1A"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44BA6403"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3D9BB2C3" w14:textId="029DECE9"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e</w:t>
            </w:r>
            <w:r w:rsidR="00B077E2">
              <w:rPr>
                <w:rFonts w:ascii="Arial" w:eastAsia="Arial" w:hAnsi="Arial" w:cs="Arial"/>
                <w:color w:val="000000"/>
                <w:sz w:val="22"/>
                <w:szCs w:val="22"/>
              </w:rPr>
              <w:t>vi</w:t>
            </w:r>
            <w:r>
              <w:rPr>
                <w:rFonts w:ascii="Arial" w:eastAsia="Arial" w:hAnsi="Arial" w:cs="Arial"/>
                <w:color w:val="000000"/>
                <w:sz w:val="22"/>
                <w:szCs w:val="22"/>
              </w:rPr>
              <w:t>.susanti.fmipa@um.ac.id</w:t>
            </w:r>
          </w:p>
        </w:tc>
      </w:tr>
      <w:tr w:rsidR="007C1D28" w14:paraId="3A370085" w14:textId="77777777">
        <w:trPr>
          <w:trHeight w:val="420"/>
        </w:trPr>
        <w:tc>
          <w:tcPr>
            <w:tcW w:w="450" w:type="dxa"/>
          </w:tcPr>
          <w:p w14:paraId="57DE0FB8"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7D0DE081"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186AACD4" w14:textId="77777777" w:rsidR="007C1D28" w:rsidRDefault="007C1D28">
            <w:pPr>
              <w:pBdr>
                <w:top w:val="nil"/>
                <w:left w:val="nil"/>
                <w:bottom w:val="nil"/>
                <w:right w:val="nil"/>
                <w:between w:val="nil"/>
              </w:pBdr>
              <w:ind w:left="34"/>
              <w:rPr>
                <w:rFonts w:ascii="Arial" w:eastAsia="Arial" w:hAnsi="Arial" w:cs="Arial"/>
                <w:color w:val="000000"/>
                <w:sz w:val="22"/>
                <w:szCs w:val="22"/>
              </w:rPr>
            </w:pPr>
          </w:p>
          <w:p w14:paraId="4F74ED26"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53BAA41E" w14:textId="1E5CF3BB"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Chemistry (biochemistry)</w:t>
            </w:r>
          </w:p>
        </w:tc>
      </w:tr>
    </w:tbl>
    <w:p w14:paraId="6B1BBE30" w14:textId="77777777" w:rsidR="007C1D28" w:rsidRDefault="007C1D28">
      <w:pPr>
        <w:spacing w:after="0" w:line="240" w:lineRule="auto"/>
        <w:jc w:val="both"/>
        <w:rPr>
          <w:rFonts w:ascii="Arial" w:eastAsia="Arial" w:hAnsi="Arial" w:cs="Arial"/>
        </w:rPr>
      </w:pPr>
    </w:p>
    <w:tbl>
      <w:tblPr>
        <w:tblStyle w:val="a5"/>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C1D28" w14:paraId="066D2FB0" w14:textId="77777777">
        <w:trPr>
          <w:trHeight w:val="420"/>
        </w:trPr>
        <w:tc>
          <w:tcPr>
            <w:tcW w:w="450" w:type="dxa"/>
          </w:tcPr>
          <w:p w14:paraId="225C2968"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3.</w:t>
            </w:r>
          </w:p>
        </w:tc>
        <w:tc>
          <w:tcPr>
            <w:tcW w:w="2327" w:type="dxa"/>
          </w:tcPr>
          <w:p w14:paraId="44AD38E6"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446C9949"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1541552C" w14:textId="2CF348D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Dr. </w:t>
            </w:r>
            <w:proofErr w:type="spellStart"/>
            <w:r>
              <w:rPr>
                <w:rFonts w:ascii="Arial" w:eastAsia="Arial" w:hAnsi="Arial" w:cs="Arial"/>
                <w:b/>
                <w:color w:val="000000"/>
                <w:sz w:val="22"/>
                <w:szCs w:val="22"/>
              </w:rPr>
              <w:t>Jayanudin</w:t>
            </w:r>
            <w:proofErr w:type="spellEnd"/>
          </w:p>
        </w:tc>
      </w:tr>
      <w:tr w:rsidR="007C1D28" w14:paraId="5478E32B" w14:textId="77777777">
        <w:trPr>
          <w:trHeight w:val="420"/>
        </w:trPr>
        <w:tc>
          <w:tcPr>
            <w:tcW w:w="450" w:type="dxa"/>
          </w:tcPr>
          <w:p w14:paraId="25CB16FB"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7B3D5CD1" w14:textId="77777777" w:rsidR="007C1D28" w:rsidRDefault="003747DD">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7C1EC29F" w14:textId="77777777" w:rsidR="007C1D28" w:rsidRDefault="003747DD">
            <w:pPr>
              <w:ind w:left="34"/>
              <w:rPr>
                <w:rFonts w:ascii="Arial" w:eastAsia="Arial" w:hAnsi="Arial" w:cs="Arial"/>
                <w:sz w:val="22"/>
                <w:szCs w:val="22"/>
              </w:rPr>
            </w:pPr>
            <w:r>
              <w:rPr>
                <w:rFonts w:ascii="Arial" w:eastAsia="Arial" w:hAnsi="Arial" w:cs="Arial"/>
                <w:sz w:val="22"/>
                <w:szCs w:val="22"/>
              </w:rPr>
              <w:t>:</w:t>
            </w:r>
          </w:p>
        </w:tc>
        <w:tc>
          <w:tcPr>
            <w:tcW w:w="6259" w:type="dxa"/>
          </w:tcPr>
          <w:p w14:paraId="431D41FA" w14:textId="684CAA77" w:rsidR="007C1D28" w:rsidRDefault="003747DD">
            <w:pPr>
              <w:ind w:left="34"/>
              <w:rPr>
                <w:rFonts w:ascii="Arial" w:eastAsia="Arial" w:hAnsi="Arial" w:cs="Arial"/>
                <w:b/>
                <w:sz w:val="22"/>
                <w:szCs w:val="22"/>
              </w:rPr>
            </w:pPr>
            <w:r>
              <w:rPr>
                <w:rFonts w:ascii="Arial" w:eastAsia="Arial" w:hAnsi="Arial" w:cs="Arial"/>
                <w:b/>
                <w:sz w:val="22"/>
                <w:szCs w:val="22"/>
              </w:rPr>
              <w:t xml:space="preserve">Universitas Sultan </w:t>
            </w:r>
            <w:proofErr w:type="spellStart"/>
            <w:r>
              <w:rPr>
                <w:rFonts w:ascii="Arial" w:eastAsia="Arial" w:hAnsi="Arial" w:cs="Arial"/>
                <w:b/>
                <w:sz w:val="22"/>
                <w:szCs w:val="22"/>
              </w:rPr>
              <w:t>Ageng</w:t>
            </w:r>
            <w:proofErr w:type="spellEnd"/>
            <w:r>
              <w:rPr>
                <w:rFonts w:ascii="Arial" w:eastAsia="Arial" w:hAnsi="Arial" w:cs="Arial"/>
                <w:b/>
                <w:sz w:val="22"/>
                <w:szCs w:val="22"/>
              </w:rPr>
              <w:t xml:space="preserve"> </w:t>
            </w:r>
            <w:proofErr w:type="spellStart"/>
            <w:r>
              <w:rPr>
                <w:rFonts w:ascii="Arial" w:eastAsia="Arial" w:hAnsi="Arial" w:cs="Arial"/>
                <w:b/>
                <w:sz w:val="22"/>
                <w:szCs w:val="22"/>
              </w:rPr>
              <w:t>Tirtayasa</w:t>
            </w:r>
            <w:proofErr w:type="spellEnd"/>
          </w:p>
        </w:tc>
      </w:tr>
      <w:tr w:rsidR="007C1D28" w14:paraId="39C97FA3" w14:textId="77777777">
        <w:trPr>
          <w:trHeight w:val="540"/>
        </w:trPr>
        <w:tc>
          <w:tcPr>
            <w:tcW w:w="450" w:type="dxa"/>
          </w:tcPr>
          <w:p w14:paraId="3CAFD02C"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3FD202DF"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76C50B83"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0578D04"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r>
      <w:tr w:rsidR="007C1D28" w14:paraId="0C2C656E" w14:textId="77777777">
        <w:trPr>
          <w:trHeight w:val="420"/>
        </w:trPr>
        <w:tc>
          <w:tcPr>
            <w:tcW w:w="450" w:type="dxa"/>
          </w:tcPr>
          <w:p w14:paraId="02325800"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6066BA4F"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60065F63"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6F863F04" w14:textId="1EC28EA5"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jayanudin@untirta.ac.id</w:t>
            </w:r>
          </w:p>
        </w:tc>
      </w:tr>
      <w:tr w:rsidR="007C1D28" w14:paraId="5047B191" w14:textId="77777777">
        <w:trPr>
          <w:trHeight w:val="420"/>
        </w:trPr>
        <w:tc>
          <w:tcPr>
            <w:tcW w:w="450" w:type="dxa"/>
          </w:tcPr>
          <w:p w14:paraId="1E3BF2DF"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7CE11A8B"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62C435EA" w14:textId="77777777" w:rsidR="007C1D28" w:rsidRDefault="007C1D28">
            <w:pPr>
              <w:pBdr>
                <w:top w:val="nil"/>
                <w:left w:val="nil"/>
                <w:bottom w:val="nil"/>
                <w:right w:val="nil"/>
                <w:between w:val="nil"/>
              </w:pBdr>
              <w:ind w:left="34"/>
              <w:rPr>
                <w:rFonts w:ascii="Arial" w:eastAsia="Arial" w:hAnsi="Arial" w:cs="Arial"/>
                <w:color w:val="000000"/>
                <w:sz w:val="22"/>
                <w:szCs w:val="22"/>
              </w:rPr>
            </w:pPr>
          </w:p>
          <w:p w14:paraId="1C552FBF"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0B156EC8" w14:textId="11C01DED"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Chemical engineering</w:t>
            </w:r>
          </w:p>
        </w:tc>
      </w:tr>
    </w:tbl>
    <w:p w14:paraId="6973E961" w14:textId="77777777" w:rsidR="007C1D28" w:rsidRDefault="007C1D28">
      <w:pPr>
        <w:spacing w:after="0" w:line="240" w:lineRule="auto"/>
        <w:jc w:val="both"/>
        <w:rPr>
          <w:rFonts w:ascii="Arial" w:eastAsia="Arial" w:hAnsi="Arial" w:cs="Arial"/>
        </w:rPr>
      </w:pPr>
    </w:p>
    <w:tbl>
      <w:tblPr>
        <w:tblStyle w:val="a6"/>
        <w:tblW w:w="9360" w:type="dxa"/>
        <w:tblBorders>
          <w:top w:val="nil"/>
          <w:left w:val="nil"/>
          <w:bottom w:val="nil"/>
          <w:right w:val="nil"/>
          <w:insideH w:val="nil"/>
          <w:insideV w:val="nil"/>
        </w:tblBorders>
        <w:tblLayout w:type="fixed"/>
        <w:tblLook w:val="0400" w:firstRow="0" w:lastRow="0" w:firstColumn="0" w:lastColumn="0" w:noHBand="0" w:noVBand="1"/>
      </w:tblPr>
      <w:tblGrid>
        <w:gridCol w:w="450"/>
        <w:gridCol w:w="2327"/>
        <w:gridCol w:w="324"/>
        <w:gridCol w:w="6259"/>
      </w:tblGrid>
      <w:tr w:rsidR="007C1D28" w14:paraId="14EA1D63" w14:textId="77777777">
        <w:trPr>
          <w:trHeight w:val="420"/>
        </w:trPr>
        <w:tc>
          <w:tcPr>
            <w:tcW w:w="450" w:type="dxa"/>
          </w:tcPr>
          <w:p w14:paraId="1ECD290C"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4.</w:t>
            </w:r>
          </w:p>
        </w:tc>
        <w:tc>
          <w:tcPr>
            <w:tcW w:w="2327" w:type="dxa"/>
          </w:tcPr>
          <w:p w14:paraId="3FAC8009"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Name</w:t>
            </w:r>
          </w:p>
        </w:tc>
        <w:tc>
          <w:tcPr>
            <w:tcW w:w="324" w:type="dxa"/>
          </w:tcPr>
          <w:p w14:paraId="57B8A878" w14:textId="77777777"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w:t>
            </w:r>
          </w:p>
        </w:tc>
        <w:tc>
          <w:tcPr>
            <w:tcW w:w="6259" w:type="dxa"/>
          </w:tcPr>
          <w:p w14:paraId="6223DD35" w14:textId="6A205AB0" w:rsidR="007C1D28" w:rsidRDefault="003747DD">
            <w:pPr>
              <w:pBdr>
                <w:top w:val="nil"/>
                <w:left w:val="nil"/>
                <w:bottom w:val="nil"/>
                <w:right w:val="nil"/>
                <w:between w:val="nil"/>
              </w:pBdr>
              <w:ind w:left="34"/>
              <w:rPr>
                <w:rFonts w:ascii="Arial" w:eastAsia="Arial" w:hAnsi="Arial" w:cs="Arial"/>
                <w:b/>
                <w:color w:val="000000"/>
                <w:sz w:val="22"/>
                <w:szCs w:val="22"/>
              </w:rPr>
            </w:pPr>
            <w:r>
              <w:rPr>
                <w:rFonts w:ascii="Arial" w:eastAsia="Arial" w:hAnsi="Arial" w:cs="Arial"/>
                <w:b/>
                <w:color w:val="000000"/>
                <w:sz w:val="22"/>
                <w:szCs w:val="22"/>
              </w:rPr>
              <w:t xml:space="preserve">Prof Sari Edi </w:t>
            </w:r>
            <w:proofErr w:type="spellStart"/>
            <w:r>
              <w:rPr>
                <w:rFonts w:ascii="Arial" w:eastAsia="Arial" w:hAnsi="Arial" w:cs="Arial"/>
                <w:b/>
                <w:color w:val="000000"/>
                <w:sz w:val="22"/>
                <w:szCs w:val="22"/>
              </w:rPr>
              <w:t>Cahyaningrum</w:t>
            </w:r>
            <w:proofErr w:type="spellEnd"/>
          </w:p>
        </w:tc>
      </w:tr>
      <w:tr w:rsidR="007C1D28" w14:paraId="60F3E162" w14:textId="77777777">
        <w:trPr>
          <w:trHeight w:val="420"/>
        </w:trPr>
        <w:tc>
          <w:tcPr>
            <w:tcW w:w="450" w:type="dxa"/>
          </w:tcPr>
          <w:p w14:paraId="74761E5A"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72775628" w14:textId="77777777" w:rsidR="007C1D28" w:rsidRDefault="003747DD">
            <w:pPr>
              <w:ind w:left="34"/>
              <w:rPr>
                <w:rFonts w:ascii="Arial" w:eastAsia="Arial" w:hAnsi="Arial" w:cs="Arial"/>
                <w:sz w:val="22"/>
                <w:szCs w:val="22"/>
              </w:rPr>
            </w:pPr>
            <w:r>
              <w:rPr>
                <w:rFonts w:ascii="Arial" w:eastAsia="Arial" w:hAnsi="Arial" w:cs="Arial"/>
                <w:sz w:val="22"/>
                <w:szCs w:val="22"/>
              </w:rPr>
              <w:t>Affiliation</w:t>
            </w:r>
          </w:p>
        </w:tc>
        <w:tc>
          <w:tcPr>
            <w:tcW w:w="324" w:type="dxa"/>
          </w:tcPr>
          <w:p w14:paraId="67313949" w14:textId="77777777" w:rsidR="007C1D28" w:rsidRDefault="003747DD">
            <w:pPr>
              <w:ind w:left="34"/>
              <w:rPr>
                <w:rFonts w:ascii="Arial" w:eastAsia="Arial" w:hAnsi="Arial" w:cs="Arial"/>
                <w:sz w:val="22"/>
                <w:szCs w:val="22"/>
              </w:rPr>
            </w:pPr>
            <w:r>
              <w:rPr>
                <w:rFonts w:ascii="Arial" w:eastAsia="Arial" w:hAnsi="Arial" w:cs="Arial"/>
                <w:sz w:val="22"/>
                <w:szCs w:val="22"/>
              </w:rPr>
              <w:t>:</w:t>
            </w:r>
          </w:p>
        </w:tc>
        <w:tc>
          <w:tcPr>
            <w:tcW w:w="6259" w:type="dxa"/>
          </w:tcPr>
          <w:p w14:paraId="666F8FFE" w14:textId="187DEDC8" w:rsidR="007C1D28" w:rsidRDefault="003747DD">
            <w:pPr>
              <w:ind w:left="34"/>
              <w:rPr>
                <w:rFonts w:ascii="Arial" w:eastAsia="Arial" w:hAnsi="Arial" w:cs="Arial"/>
                <w:b/>
                <w:sz w:val="22"/>
                <w:szCs w:val="22"/>
              </w:rPr>
            </w:pPr>
            <w:r>
              <w:rPr>
                <w:rFonts w:ascii="Arial" w:eastAsia="Arial" w:hAnsi="Arial" w:cs="Arial"/>
                <w:b/>
                <w:sz w:val="22"/>
                <w:szCs w:val="22"/>
              </w:rPr>
              <w:t>Universitas Negeri Surabaya</w:t>
            </w:r>
          </w:p>
        </w:tc>
      </w:tr>
      <w:tr w:rsidR="007C1D28" w14:paraId="7AFBDA84" w14:textId="77777777">
        <w:trPr>
          <w:trHeight w:val="540"/>
        </w:trPr>
        <w:tc>
          <w:tcPr>
            <w:tcW w:w="450" w:type="dxa"/>
          </w:tcPr>
          <w:p w14:paraId="071A4BD7"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16DC256A"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Address</w:t>
            </w:r>
          </w:p>
        </w:tc>
        <w:tc>
          <w:tcPr>
            <w:tcW w:w="324" w:type="dxa"/>
          </w:tcPr>
          <w:p w14:paraId="169410BA"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49527268"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r>
      <w:tr w:rsidR="007C1D28" w14:paraId="60D0B44D" w14:textId="77777777">
        <w:trPr>
          <w:trHeight w:val="420"/>
        </w:trPr>
        <w:tc>
          <w:tcPr>
            <w:tcW w:w="450" w:type="dxa"/>
          </w:tcPr>
          <w:p w14:paraId="2AFAF8E2"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792AC48C"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E-mail</w:t>
            </w:r>
          </w:p>
        </w:tc>
        <w:tc>
          <w:tcPr>
            <w:tcW w:w="324" w:type="dxa"/>
          </w:tcPr>
          <w:p w14:paraId="78C335E1"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3F6DEDD" w14:textId="70387B51"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saricahyaningrum@unesa.ac.id</w:t>
            </w:r>
          </w:p>
        </w:tc>
      </w:tr>
      <w:tr w:rsidR="007C1D28" w14:paraId="4DF753E3" w14:textId="77777777">
        <w:trPr>
          <w:trHeight w:val="420"/>
        </w:trPr>
        <w:tc>
          <w:tcPr>
            <w:tcW w:w="450" w:type="dxa"/>
          </w:tcPr>
          <w:p w14:paraId="41A1DD17" w14:textId="77777777" w:rsidR="007C1D28" w:rsidRDefault="007C1D28">
            <w:pPr>
              <w:pBdr>
                <w:top w:val="nil"/>
                <w:left w:val="nil"/>
                <w:bottom w:val="nil"/>
                <w:right w:val="nil"/>
                <w:between w:val="nil"/>
              </w:pBdr>
              <w:ind w:left="34"/>
              <w:rPr>
                <w:rFonts w:ascii="Arial" w:eastAsia="Arial" w:hAnsi="Arial" w:cs="Arial"/>
                <w:color w:val="000000"/>
                <w:sz w:val="22"/>
                <w:szCs w:val="22"/>
              </w:rPr>
            </w:pPr>
          </w:p>
        </w:tc>
        <w:tc>
          <w:tcPr>
            <w:tcW w:w="2327" w:type="dxa"/>
          </w:tcPr>
          <w:p w14:paraId="79ABA381" w14:textId="77777777" w:rsidR="007C1D28" w:rsidRDefault="003747DD">
            <w:pPr>
              <w:pBdr>
                <w:top w:val="nil"/>
                <w:left w:val="nil"/>
                <w:bottom w:val="nil"/>
                <w:right w:val="nil"/>
                <w:between w:val="nil"/>
              </w:pBdr>
              <w:ind w:left="34"/>
              <w:rPr>
                <w:rFonts w:ascii="Arial" w:eastAsia="Arial" w:hAnsi="Arial" w:cs="Arial"/>
                <w:color w:val="FF0000"/>
                <w:sz w:val="22"/>
                <w:szCs w:val="22"/>
              </w:rPr>
            </w:pPr>
            <w:r>
              <w:rPr>
                <w:rFonts w:ascii="Arial" w:eastAsia="Arial" w:hAnsi="Arial" w:cs="Arial"/>
                <w:color w:val="000000"/>
                <w:sz w:val="22"/>
                <w:szCs w:val="22"/>
              </w:rPr>
              <w:t>Reviewing Interest / Expertise</w:t>
            </w:r>
          </w:p>
        </w:tc>
        <w:tc>
          <w:tcPr>
            <w:tcW w:w="324" w:type="dxa"/>
          </w:tcPr>
          <w:p w14:paraId="48AC7822" w14:textId="77777777" w:rsidR="007C1D28" w:rsidRDefault="007C1D28">
            <w:pPr>
              <w:pBdr>
                <w:top w:val="nil"/>
                <w:left w:val="nil"/>
                <w:bottom w:val="nil"/>
                <w:right w:val="nil"/>
                <w:between w:val="nil"/>
              </w:pBdr>
              <w:ind w:left="34"/>
              <w:rPr>
                <w:rFonts w:ascii="Arial" w:eastAsia="Arial" w:hAnsi="Arial" w:cs="Arial"/>
                <w:color w:val="000000"/>
                <w:sz w:val="22"/>
                <w:szCs w:val="22"/>
              </w:rPr>
            </w:pPr>
          </w:p>
          <w:p w14:paraId="1B899C53"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w:t>
            </w:r>
          </w:p>
        </w:tc>
        <w:tc>
          <w:tcPr>
            <w:tcW w:w="6259" w:type="dxa"/>
          </w:tcPr>
          <w:p w14:paraId="73535CB5" w14:textId="77777777" w:rsidR="007C1D28" w:rsidRDefault="003747DD">
            <w:pPr>
              <w:pBdr>
                <w:top w:val="nil"/>
                <w:left w:val="nil"/>
                <w:bottom w:val="nil"/>
                <w:right w:val="nil"/>
                <w:between w:val="nil"/>
              </w:pBdr>
              <w:ind w:left="34"/>
              <w:rPr>
                <w:rFonts w:ascii="Arial" w:eastAsia="Arial" w:hAnsi="Arial" w:cs="Arial"/>
                <w:color w:val="000000"/>
                <w:sz w:val="22"/>
                <w:szCs w:val="22"/>
              </w:rPr>
            </w:pPr>
            <w:r>
              <w:rPr>
                <w:rFonts w:ascii="Arial" w:eastAsia="Arial" w:hAnsi="Arial" w:cs="Arial"/>
                <w:color w:val="000000"/>
                <w:sz w:val="22"/>
                <w:szCs w:val="22"/>
              </w:rPr>
              <w:t>Chemistry, chemical engineering</w:t>
            </w:r>
          </w:p>
          <w:p w14:paraId="093EEC2E" w14:textId="726DA4AC" w:rsidR="003747DD" w:rsidRDefault="003747DD">
            <w:pPr>
              <w:pBdr>
                <w:top w:val="nil"/>
                <w:left w:val="nil"/>
                <w:bottom w:val="nil"/>
                <w:right w:val="nil"/>
                <w:between w:val="nil"/>
              </w:pBdr>
              <w:ind w:left="34"/>
              <w:rPr>
                <w:rFonts w:ascii="Arial" w:eastAsia="Arial" w:hAnsi="Arial" w:cs="Arial"/>
                <w:color w:val="000000"/>
                <w:sz w:val="22"/>
                <w:szCs w:val="22"/>
              </w:rPr>
            </w:pPr>
          </w:p>
        </w:tc>
      </w:tr>
    </w:tbl>
    <w:p w14:paraId="245A07A1" w14:textId="77777777" w:rsidR="007C1D28" w:rsidRDefault="007C1D28">
      <w:pPr>
        <w:spacing w:after="0" w:line="360" w:lineRule="auto"/>
        <w:jc w:val="both"/>
        <w:rPr>
          <w:rFonts w:ascii="Arial" w:eastAsia="Arial" w:hAnsi="Arial" w:cs="Arial"/>
        </w:rPr>
      </w:pPr>
    </w:p>
    <w:sectPr w:rsidR="007C1D2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Mangal">
    <w:panose1 w:val="02040503050203030202"/>
    <w:charset w:val="01"/>
    <w:family w:val="roman"/>
    <w:pitch w:val="variable"/>
    <w:sig w:usb0="0000A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D28"/>
    <w:rsid w:val="00140B10"/>
    <w:rsid w:val="00171BF8"/>
    <w:rsid w:val="003747DD"/>
    <w:rsid w:val="007C1D28"/>
    <w:rsid w:val="00B077E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4:docId w14:val="2C261FBA"/>
  <w15:docId w15:val="{7E4DD396-5AF5-854C-BD8F-D0A41769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CF2700"/>
    <w:pPr>
      <w:autoSpaceDE w:val="0"/>
      <w:autoSpaceDN w:val="0"/>
      <w:adjustRightInd w:val="0"/>
      <w:spacing w:after="0" w:line="240" w:lineRule="auto"/>
    </w:pPr>
    <w:rPr>
      <w:rFonts w:ascii="Century" w:eastAsiaTheme="minorHAnsi" w:hAnsi="Century" w:cs="Century"/>
      <w:color w:val="000000"/>
      <w:sz w:val="24"/>
      <w:szCs w:val="24"/>
    </w:rPr>
  </w:style>
  <w:style w:type="table" w:styleId="TableGrid">
    <w:name w:val="Table Grid"/>
    <w:basedOn w:val="TableNormal"/>
    <w:uiPriority w:val="59"/>
    <w:rsid w:val="00CF2700"/>
    <w:pPr>
      <w:spacing w:after="0" w:line="240" w:lineRule="auto"/>
    </w:pPr>
    <w:rPr>
      <w:rFonts w:ascii="Times New Roman" w:eastAsiaTheme="minorHAnsi" w:hAnsi="Times New Roman" w:cs="Times New Roman"/>
      <w:sz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5">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q/7vyNJ/ntHecelqQxyMYBsguA==">AMUW2mVHji3dVNJ259suRz9FMYVo8d+PmjnB24eESmD2lbvBO8GpNSq78yKOFavc51Gdg671dPkGN0VKAhwl7E6hKRbZc/CtVER4KTAMPFOoB2xJ7fheZ4lKO2X57FQAsXSEuOveiXND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466</Words>
  <Characters>2660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aulia.ratri.h</dc:creator>
  <cp:lastModifiedBy>Microsoft Office User</cp:lastModifiedBy>
  <cp:revision>4</cp:revision>
  <dcterms:created xsi:type="dcterms:W3CDTF">2021-05-18T02:51:00Z</dcterms:created>
  <dcterms:modified xsi:type="dcterms:W3CDTF">2021-09-25T04:38:00Z</dcterms:modified>
</cp:coreProperties>
</file>