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FA037" w14:textId="77777777" w:rsidR="00CF1536" w:rsidRDefault="00CF1536" w:rsidP="00CF1536">
      <w:pPr>
        <w:pStyle w:val="ASub-bab1"/>
        <w:rPr>
          <w:sz w:val="32"/>
          <w:szCs w:val="32"/>
        </w:rPr>
      </w:pPr>
      <w:r>
        <w:rPr>
          <w:sz w:val="32"/>
          <w:szCs w:val="32"/>
        </w:rPr>
        <w:t>Supplementary Information</w:t>
      </w:r>
    </w:p>
    <w:p w14:paraId="045217E7" w14:textId="77777777" w:rsidR="00CF1536" w:rsidRDefault="00CF1536" w:rsidP="00CF1536">
      <w:pPr>
        <w:pStyle w:val="ASub-bab1"/>
        <w:rPr>
          <w:sz w:val="32"/>
          <w:szCs w:val="32"/>
        </w:rPr>
      </w:pPr>
    </w:p>
    <w:p w14:paraId="5C6BBC0D" w14:textId="77777777" w:rsidR="00CF1536" w:rsidRPr="00693162" w:rsidRDefault="00CF1536" w:rsidP="00CF1536">
      <w:pPr>
        <w:pStyle w:val="ATitle"/>
      </w:pPr>
      <w:r w:rsidRPr="00693162">
        <w:t>DENSITY FUNCTIONAL THEORY</w:t>
      </w:r>
      <w:r>
        <w:t xml:space="preserve"> STUDY OF</w:t>
      </w:r>
      <w:r w:rsidRPr="00693162">
        <w:t xml:space="preserve"> INTERMOLECULAR INTERACTION BETWEEN </w:t>
      </w:r>
      <w:r>
        <w:t xml:space="preserve">AMYLUM AND </w:t>
      </w:r>
      <w:r w:rsidRPr="0085691B">
        <w:rPr>
          <w:szCs w:val="32"/>
        </w:rPr>
        <w:t>CELLULOSE</w:t>
      </w:r>
    </w:p>
    <w:p w14:paraId="2C1A3556" w14:textId="77777777" w:rsidR="00CF1536" w:rsidRPr="000B6E07" w:rsidRDefault="00CF1536" w:rsidP="00CF1536">
      <w:pPr>
        <w:pStyle w:val="AAuthor"/>
        <w:rPr>
          <w:rFonts w:ascii="Times New Roman" w:hAnsi="Times New Roman" w:cs="Times New Roman"/>
        </w:rPr>
      </w:pPr>
      <w:proofErr w:type="spellStart"/>
      <w:r w:rsidRPr="00693162">
        <w:t>Raynardthan</w:t>
      </w:r>
      <w:proofErr w:type="spellEnd"/>
      <w:r w:rsidRPr="00693162">
        <w:t xml:space="preserve"> Pontoh</w:t>
      </w:r>
      <w:r w:rsidRPr="00693162">
        <w:rPr>
          <w:vertAlign w:val="superscript"/>
        </w:rPr>
        <w:t>1</w:t>
      </w:r>
      <w:r w:rsidRPr="00693162">
        <w:t xml:space="preserve">, Vania </w:t>
      </w:r>
      <w:proofErr w:type="spellStart"/>
      <w:r w:rsidRPr="00693162">
        <w:rPr>
          <w:rFonts w:ascii="Times New Roman" w:hAnsi="Times New Roman"/>
        </w:rPr>
        <w:t>Edita</w:t>
      </w:r>
      <w:proofErr w:type="spellEnd"/>
      <w:r w:rsidRPr="00693162">
        <w:rPr>
          <w:rFonts w:ascii="Times New Roman" w:hAnsi="Times New Roman"/>
        </w:rPr>
        <w:t xml:space="preserve"> Rarisavitri</w:t>
      </w:r>
      <w:r w:rsidRPr="00693162">
        <w:rPr>
          <w:rFonts w:ascii="Times New Roman" w:hAnsi="Times New Roman"/>
          <w:vertAlign w:val="superscript"/>
        </w:rPr>
        <w:t>1</w:t>
      </w:r>
      <w:r w:rsidRPr="00693162">
        <w:t>, Christine Charen Yang</w:t>
      </w:r>
      <w:r w:rsidRPr="00693162">
        <w:rPr>
          <w:vertAlign w:val="superscript"/>
        </w:rPr>
        <w:t>1</w:t>
      </w:r>
      <w:r w:rsidRPr="00693162">
        <w:t xml:space="preserve">, </w:t>
      </w:r>
      <w:proofErr w:type="spellStart"/>
      <w:r w:rsidRPr="00693162">
        <w:t>Maximilliam</w:t>
      </w:r>
      <w:proofErr w:type="spellEnd"/>
      <w:r w:rsidRPr="00693162">
        <w:t xml:space="preserve"> </w:t>
      </w:r>
      <w:proofErr w:type="spellStart"/>
      <w:r w:rsidRPr="000B6E07">
        <w:rPr>
          <w:rFonts w:ascii="Times New Roman" w:hAnsi="Times New Roman" w:cs="Times New Roman"/>
        </w:rPr>
        <w:t>Febriand</w:t>
      </w:r>
      <w:proofErr w:type="spellEnd"/>
      <w:r w:rsidRPr="000B6E07">
        <w:rPr>
          <w:rFonts w:ascii="Times New Roman" w:hAnsi="Times New Roman" w:cs="Times New Roman"/>
        </w:rPr>
        <w:t xml:space="preserve"> Putra</w:t>
      </w:r>
      <w:r w:rsidRPr="000B6E07">
        <w:rPr>
          <w:rFonts w:ascii="Times New Roman" w:hAnsi="Times New Roman" w:cs="Times New Roman"/>
          <w:vertAlign w:val="superscript"/>
        </w:rPr>
        <w:t>2</w:t>
      </w:r>
      <w:r w:rsidRPr="000B6E07">
        <w:rPr>
          <w:rFonts w:ascii="Times New Roman" w:hAnsi="Times New Roman" w:cs="Times New Roman"/>
        </w:rPr>
        <w:t>, Daru Seto Bagus Anugrah</w:t>
      </w:r>
      <w:r w:rsidRPr="000B6E07">
        <w:rPr>
          <w:rFonts w:ascii="Times New Roman" w:hAnsi="Times New Roman" w:cs="Times New Roman"/>
          <w:vertAlign w:val="superscript"/>
        </w:rPr>
        <w:t>1*</w:t>
      </w:r>
      <w:r w:rsidRPr="000B6E07">
        <w:rPr>
          <w:rFonts w:ascii="Times New Roman" w:hAnsi="Times New Roman" w:cs="Times New Roman"/>
        </w:rPr>
        <w:t xml:space="preserve"> </w:t>
      </w:r>
    </w:p>
    <w:p w14:paraId="047CEC54" w14:textId="77777777" w:rsidR="00CF1536" w:rsidRPr="000B6E07" w:rsidRDefault="00CF1536" w:rsidP="00CF1536">
      <w:pPr>
        <w:spacing w:after="0" w:line="276" w:lineRule="auto"/>
        <w:rPr>
          <w:rFonts w:ascii="Times New Roman" w:hAnsi="Times New Roman"/>
          <w:bCs/>
          <w:sz w:val="20"/>
          <w:szCs w:val="20"/>
        </w:rPr>
      </w:pPr>
      <w:r w:rsidRPr="000B6E07">
        <w:rPr>
          <w:rFonts w:ascii="Times New Roman" w:hAnsi="Times New Roman"/>
          <w:bCs/>
          <w:sz w:val="20"/>
          <w:szCs w:val="20"/>
          <w:vertAlign w:val="superscript"/>
        </w:rPr>
        <w:t>1</w:t>
      </w:r>
      <w:r w:rsidRPr="000B6E07">
        <w:rPr>
          <w:rFonts w:ascii="Times New Roman" w:hAnsi="Times New Roman"/>
          <w:bCs/>
          <w:sz w:val="20"/>
          <w:szCs w:val="20"/>
        </w:rPr>
        <w:t>Un</w:t>
      </w:r>
      <w:r w:rsidRPr="000B6E07">
        <w:rPr>
          <w:rFonts w:ascii="Times New Roman" w:hAnsi="Times New Roman"/>
          <w:sz w:val="20"/>
          <w:szCs w:val="20"/>
        </w:rPr>
        <w:t xml:space="preserve">dergraduate program, Biotechnology Study Program, Faculty of Biotechnology, </w:t>
      </w:r>
      <w:proofErr w:type="spellStart"/>
      <w:r w:rsidRPr="000B6E07">
        <w:rPr>
          <w:rFonts w:ascii="Times New Roman" w:hAnsi="Times New Roman"/>
          <w:sz w:val="20"/>
          <w:szCs w:val="20"/>
        </w:rPr>
        <w:t>Atma</w:t>
      </w:r>
      <w:proofErr w:type="spellEnd"/>
      <w:r w:rsidRPr="000B6E07">
        <w:rPr>
          <w:rFonts w:ascii="Times New Roman" w:hAnsi="Times New Roman"/>
          <w:sz w:val="20"/>
          <w:szCs w:val="20"/>
        </w:rPr>
        <w:t xml:space="preserve"> Jaya Catholic University of Indonesia</w:t>
      </w:r>
      <w:r w:rsidRPr="000B6E07">
        <w:rPr>
          <w:rFonts w:ascii="Times New Roman" w:hAnsi="Times New Roman"/>
          <w:bCs/>
          <w:sz w:val="20"/>
          <w:szCs w:val="20"/>
        </w:rPr>
        <w:t xml:space="preserve">, </w:t>
      </w:r>
      <w:r w:rsidRPr="000B6E07">
        <w:rPr>
          <w:rFonts w:ascii="Times New Roman" w:hAnsi="Times New Roman"/>
          <w:sz w:val="20"/>
          <w:szCs w:val="20"/>
        </w:rPr>
        <w:t>BSD Campus</w:t>
      </w:r>
      <w:r w:rsidRPr="000B6E07">
        <w:rPr>
          <w:rFonts w:ascii="Times New Roman" w:hAnsi="Times New Roman"/>
          <w:sz w:val="20"/>
          <w:szCs w:val="20"/>
          <w:shd w:val="clear" w:color="auto" w:fill="FFFFFF"/>
        </w:rPr>
        <w:t>, Tangerang 15345, Indonesia</w:t>
      </w:r>
      <w:r w:rsidRPr="000B6E07">
        <w:rPr>
          <w:rFonts w:ascii="Times New Roman" w:hAnsi="Times New Roman"/>
          <w:bCs/>
          <w:sz w:val="20"/>
          <w:szCs w:val="20"/>
        </w:rPr>
        <w:t xml:space="preserve"> </w:t>
      </w:r>
    </w:p>
    <w:p w14:paraId="4782FBF3" w14:textId="77777777" w:rsidR="00CF1536" w:rsidRPr="000B6E07" w:rsidRDefault="00CF1536" w:rsidP="00CF1536">
      <w:pPr>
        <w:spacing w:after="0" w:line="276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0B6E07">
        <w:rPr>
          <w:rFonts w:ascii="Times New Roman" w:hAnsi="Times New Roman"/>
          <w:sz w:val="20"/>
          <w:szCs w:val="20"/>
          <w:vertAlign w:val="superscript"/>
        </w:rPr>
        <w:t>2</w:t>
      </w:r>
      <w:r w:rsidRPr="000B6E07">
        <w:rPr>
          <w:rFonts w:ascii="Times New Roman" w:hAnsi="Times New Roman"/>
          <w:bCs/>
          <w:sz w:val="20"/>
          <w:szCs w:val="20"/>
        </w:rPr>
        <w:t>Un</w:t>
      </w:r>
      <w:r w:rsidRPr="000B6E07">
        <w:rPr>
          <w:rFonts w:ascii="Times New Roman" w:hAnsi="Times New Roman"/>
          <w:sz w:val="20"/>
          <w:szCs w:val="20"/>
        </w:rPr>
        <w:t xml:space="preserve">dergraduate program, Food Technology Study Program, Faculty of Biotechnology, </w:t>
      </w:r>
      <w:proofErr w:type="spellStart"/>
      <w:r w:rsidRPr="000B6E07">
        <w:rPr>
          <w:rFonts w:ascii="Times New Roman" w:hAnsi="Times New Roman"/>
          <w:sz w:val="20"/>
          <w:szCs w:val="20"/>
        </w:rPr>
        <w:t>Atma</w:t>
      </w:r>
      <w:proofErr w:type="spellEnd"/>
      <w:r w:rsidRPr="000B6E07">
        <w:rPr>
          <w:rFonts w:ascii="Times New Roman" w:hAnsi="Times New Roman"/>
          <w:sz w:val="20"/>
          <w:szCs w:val="20"/>
        </w:rPr>
        <w:t xml:space="preserve"> Jaya Catholic University of Indonesia</w:t>
      </w:r>
      <w:r w:rsidRPr="000B6E07">
        <w:rPr>
          <w:rFonts w:ascii="Times New Roman" w:hAnsi="Times New Roman"/>
          <w:bCs/>
          <w:sz w:val="20"/>
          <w:szCs w:val="20"/>
        </w:rPr>
        <w:t xml:space="preserve">, </w:t>
      </w:r>
      <w:r w:rsidRPr="000B6E07">
        <w:rPr>
          <w:rFonts w:ascii="Times New Roman" w:hAnsi="Times New Roman"/>
          <w:sz w:val="20"/>
          <w:szCs w:val="20"/>
        </w:rPr>
        <w:t>BSD Campus</w:t>
      </w:r>
      <w:r w:rsidRPr="000B6E07">
        <w:rPr>
          <w:rFonts w:ascii="Times New Roman" w:hAnsi="Times New Roman"/>
          <w:sz w:val="20"/>
          <w:szCs w:val="20"/>
          <w:shd w:val="clear" w:color="auto" w:fill="FFFFFF"/>
        </w:rPr>
        <w:t>, Tangerang 15345, Indonesia</w:t>
      </w:r>
    </w:p>
    <w:p w14:paraId="07088447" w14:textId="77777777" w:rsidR="00CF1536" w:rsidRPr="000B6E07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  <w:r w:rsidRPr="000B6E07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*Corresponding Author, e-mail: </w:t>
      </w:r>
      <w:hyperlink r:id="rId7" w:history="1">
        <w:r w:rsidRPr="000B6E07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darufile@gmail.com</w:t>
        </w:r>
      </w:hyperlink>
      <w:r w:rsidRPr="000B6E07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 or </w:t>
      </w:r>
      <w:hyperlink r:id="rId8" w:history="1">
        <w:r w:rsidRPr="000B6E07">
          <w:rPr>
            <w:rStyle w:val="Hyperlink"/>
            <w:rFonts w:ascii="Times New Roman" w:hAnsi="Times New Roman"/>
            <w:sz w:val="20"/>
            <w:szCs w:val="20"/>
            <w:shd w:val="clear" w:color="auto" w:fill="FFFFFF"/>
          </w:rPr>
          <w:t>daru.seto@atmajaya.ac.id</w:t>
        </w:r>
      </w:hyperlink>
      <w:r w:rsidRPr="000B6E07">
        <w:rPr>
          <w:rFonts w:ascii="Times New Roman" w:hAnsi="Times New Roman"/>
          <w:color w:val="202124"/>
          <w:sz w:val="20"/>
          <w:szCs w:val="20"/>
          <w:shd w:val="clear" w:color="auto" w:fill="FFFFFF"/>
        </w:rPr>
        <w:t xml:space="preserve"> </w:t>
      </w:r>
    </w:p>
    <w:p w14:paraId="6CC759F4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36D2CE64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5044A9C5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7531C36E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11233D23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0FED2A08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18721EDE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6D16F9B2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257613B5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3DDECBEA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27419C96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1B20F266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59FFE69B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493EA0F3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02B15F8D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69AB4C75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6BA11319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1D669AD3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044E4422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499877A9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793367C8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4421583F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4E4334A4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0347438F" w14:textId="77777777" w:rsidR="00CF1536" w:rsidRDefault="00CF1536" w:rsidP="00CF1536">
      <w:pPr>
        <w:spacing w:after="0" w:line="276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</w:p>
    <w:p w14:paraId="2366A917" w14:textId="5029F436" w:rsidR="00CF1536" w:rsidRPr="00382F60" w:rsidRDefault="00CF1536" w:rsidP="00CF1536">
      <w:pPr>
        <w:spacing w:after="0" w:line="240" w:lineRule="auto"/>
        <w:rPr>
          <w:rFonts w:ascii="Times New Roman" w:hAnsi="Times New Roman"/>
          <w:color w:val="202124"/>
          <w:sz w:val="20"/>
          <w:szCs w:val="20"/>
          <w:shd w:val="clear" w:color="auto" w:fill="FFFFFF"/>
        </w:rPr>
      </w:pPr>
      <w:r>
        <w:br w:type="page"/>
      </w:r>
      <w:r>
        <w:rPr>
          <w:noProof/>
        </w:rPr>
        <w:lastRenderedPageBreak/>
        <w:drawing>
          <wp:inline distT="0" distB="0" distL="0" distR="0" wp14:anchorId="6ED7C646" wp14:editId="66DE657C">
            <wp:extent cx="5731510" cy="2456597"/>
            <wp:effectExtent l="0" t="0" r="2540" b="1270"/>
            <wp:docPr id="12" name="Picture 1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able&#10;&#10;Description automatically generated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027"/>
                    <a:stretch/>
                  </pic:blipFill>
                  <pic:spPr bwMode="auto">
                    <a:xfrm>
                      <a:off x="0" y="0"/>
                      <a:ext cx="5731510" cy="2456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718BCE" w14:textId="77777777" w:rsidR="00CF1536" w:rsidRPr="00B211E7" w:rsidRDefault="00CF1536" w:rsidP="00CF1536">
      <w:pPr>
        <w:spacing w:after="0" w:line="240" w:lineRule="auto"/>
        <w:jc w:val="both"/>
        <w:rPr>
          <w:rFonts w:ascii="Times New Roman" w:hAnsi="Times New Roman"/>
        </w:rPr>
      </w:pPr>
      <w:bookmarkStart w:id="0" w:name="_Ref82940855"/>
      <w:r w:rsidRPr="00B211E7">
        <w:rPr>
          <w:rFonts w:ascii="Times New Roman" w:hAnsi="Times New Roman"/>
        </w:rPr>
        <w:t xml:space="preserve">CP: critical point; BCP: Bond critical point; </w:t>
      </w:r>
      <m:oMath>
        <m:r>
          <w:rPr>
            <w:rFonts w:ascii="Cambria Math" w:hAnsi="Cambria Math"/>
            <w:sz w:val="20"/>
            <w:szCs w:val="20"/>
          </w:rPr>
          <m:t xml:space="preserve"> ρ</m:t>
        </m:r>
      </m:oMath>
      <w:r w:rsidRPr="00B211E7">
        <w:rPr>
          <w:rFonts w:ascii="Times New Roman" w:hAnsi="Times New Roman"/>
        </w:rPr>
        <w:t xml:space="preserve">: Electron density (a.u.); </w:t>
      </w:r>
      <w:r w:rsidRPr="00B211E7">
        <w:rPr>
          <w:rFonts w:ascii="Tahoma" w:hAnsi="Tahoma" w:cs="Tahoma"/>
        </w:rPr>
        <w:t>﻿</w:t>
      </w:r>
      <w:r w:rsidRPr="00B211E7">
        <w:rPr>
          <w:rFonts w:ascii="Cambria Math" w:hAnsi="Cambria Math" w:cs="Cambria Math"/>
        </w:rPr>
        <w:t>∇</w:t>
      </w:r>
      <w:r w:rsidRPr="00B211E7">
        <w:rPr>
          <w:rFonts w:ascii="Times New Roman" w:hAnsi="Times New Roman"/>
          <w:vertAlign w:val="superscript"/>
        </w:rPr>
        <w:t>2</w:t>
      </w:r>
      <w:r w:rsidRPr="00B211E7">
        <w:rPr>
          <w:rFonts w:ascii="Times New Roman" w:hAnsi="Times New Roman"/>
        </w:rPr>
        <w:t>ρ: Laplacian of electron density (</w:t>
      </w:r>
      <w:proofErr w:type="spellStart"/>
      <w:r w:rsidRPr="00B211E7">
        <w:rPr>
          <w:rFonts w:ascii="Times New Roman" w:hAnsi="Times New Roman"/>
        </w:rPr>
        <w:t>a.u</w:t>
      </w:r>
      <w:proofErr w:type="spellEnd"/>
      <w:r w:rsidRPr="00B211E7">
        <w:rPr>
          <w:rFonts w:ascii="Times New Roman" w:hAnsi="Times New Roman"/>
        </w:rPr>
        <w:t xml:space="preserve">); G: </w:t>
      </w:r>
      <w:proofErr w:type="spellStart"/>
      <w:r w:rsidRPr="00B211E7">
        <w:rPr>
          <w:rFonts w:ascii="Times New Roman" w:hAnsi="Times New Roman"/>
        </w:rPr>
        <w:t>Lagrangian</w:t>
      </w:r>
      <w:proofErr w:type="spellEnd"/>
      <w:r w:rsidRPr="00B211E7">
        <w:rPr>
          <w:rFonts w:ascii="Times New Roman" w:hAnsi="Times New Roman"/>
        </w:rPr>
        <w:t xml:space="preserve"> kinetic energy (</w:t>
      </w:r>
      <w:proofErr w:type="spellStart"/>
      <w:r w:rsidRPr="00B211E7">
        <w:rPr>
          <w:rFonts w:ascii="Times New Roman" w:hAnsi="Times New Roman"/>
        </w:rPr>
        <w:t>a.u</w:t>
      </w:r>
      <w:proofErr w:type="spellEnd"/>
      <w:r w:rsidRPr="00B211E7">
        <w:rPr>
          <w:rFonts w:ascii="Times New Roman" w:hAnsi="Times New Roman"/>
        </w:rPr>
        <w:t>); H: Hamiltonian kinetic energy or electronic energy density (</w:t>
      </w:r>
      <w:proofErr w:type="spellStart"/>
      <w:r w:rsidRPr="00B211E7">
        <w:rPr>
          <w:rFonts w:ascii="Times New Roman" w:hAnsi="Times New Roman"/>
        </w:rPr>
        <w:t>a.u</w:t>
      </w:r>
      <w:proofErr w:type="spellEnd"/>
      <w:r w:rsidRPr="00B211E7">
        <w:rPr>
          <w:rFonts w:ascii="Times New Roman" w:hAnsi="Times New Roman"/>
        </w:rPr>
        <w:t>); V: Potential energy density (</w:t>
      </w:r>
      <w:proofErr w:type="spellStart"/>
      <w:r w:rsidRPr="00B211E7">
        <w:rPr>
          <w:rFonts w:ascii="Times New Roman" w:hAnsi="Times New Roman"/>
        </w:rPr>
        <w:t>a.u</w:t>
      </w:r>
      <w:proofErr w:type="spellEnd"/>
      <w:r w:rsidRPr="00B211E7">
        <w:rPr>
          <w:rFonts w:ascii="Times New Roman" w:hAnsi="Times New Roman"/>
        </w:rPr>
        <w:t>); ε: Ellipticity of electron density (</w:t>
      </w:r>
      <w:proofErr w:type="spellStart"/>
      <w:r w:rsidRPr="00B211E7">
        <w:rPr>
          <w:rFonts w:ascii="Times New Roman" w:hAnsi="Times New Roman"/>
        </w:rPr>
        <w:t>a.u</w:t>
      </w:r>
      <w:proofErr w:type="spellEnd"/>
      <w:r w:rsidRPr="00B211E7">
        <w:rPr>
          <w:rFonts w:ascii="Times New Roman" w:hAnsi="Times New Roman"/>
        </w:rPr>
        <w:t>); λ</w:t>
      </w:r>
      <w:r w:rsidRPr="00B211E7">
        <w:rPr>
          <w:rFonts w:ascii="Times New Roman" w:hAnsi="Times New Roman"/>
          <w:vertAlign w:val="subscript"/>
        </w:rPr>
        <w:t>1</w:t>
      </w:r>
      <w:r w:rsidRPr="00B211E7">
        <w:rPr>
          <w:rFonts w:ascii="Times New Roman" w:hAnsi="Times New Roman"/>
        </w:rPr>
        <w:t>, λ</w:t>
      </w:r>
      <w:r w:rsidRPr="00B211E7">
        <w:rPr>
          <w:rFonts w:ascii="Times New Roman" w:hAnsi="Times New Roman"/>
          <w:vertAlign w:val="subscript"/>
        </w:rPr>
        <w:t xml:space="preserve">2, </w:t>
      </w:r>
      <w:r w:rsidRPr="00B211E7">
        <w:rPr>
          <w:rFonts w:ascii="Times New Roman" w:hAnsi="Times New Roman"/>
        </w:rPr>
        <w:t>λ</w:t>
      </w:r>
      <w:r w:rsidRPr="00B211E7">
        <w:rPr>
          <w:rFonts w:ascii="Times New Roman" w:hAnsi="Times New Roman"/>
          <w:vertAlign w:val="subscript"/>
        </w:rPr>
        <w:t xml:space="preserve">3 </w:t>
      </w:r>
      <w:r w:rsidRPr="00B211E7">
        <w:rPr>
          <w:rFonts w:ascii="Times New Roman" w:hAnsi="Times New Roman"/>
        </w:rPr>
        <w:t>: Components of Laplacian in x/y/z (</w:t>
      </w:r>
      <w:proofErr w:type="spellStart"/>
      <w:r w:rsidRPr="00B211E7">
        <w:rPr>
          <w:rFonts w:ascii="Times New Roman" w:hAnsi="Times New Roman"/>
        </w:rPr>
        <w:t>a.u</w:t>
      </w:r>
      <w:proofErr w:type="spellEnd"/>
      <w:r w:rsidRPr="00B211E7">
        <w:rPr>
          <w:rFonts w:ascii="Times New Roman" w:hAnsi="Times New Roman"/>
        </w:rPr>
        <w:t>);  E</w:t>
      </w:r>
      <w:r w:rsidRPr="00B211E7">
        <w:rPr>
          <w:rFonts w:ascii="Times New Roman" w:hAnsi="Times New Roman"/>
          <w:vertAlign w:val="subscript"/>
        </w:rPr>
        <w:t>HB</w:t>
      </w:r>
      <w:r w:rsidRPr="00B211E7">
        <w:rPr>
          <w:rFonts w:ascii="Times New Roman" w:hAnsi="Times New Roman"/>
        </w:rPr>
        <w:t>: Hydrogen bond energy (kcal/mol).</w:t>
      </w:r>
    </w:p>
    <w:p w14:paraId="030D3D60" w14:textId="77777777" w:rsidR="00CF1536" w:rsidRPr="00B211E7" w:rsidRDefault="00CF1536" w:rsidP="00CF1536">
      <w:pPr>
        <w:spacing w:after="0" w:line="240" w:lineRule="auto"/>
        <w:jc w:val="both"/>
        <w:rPr>
          <w:rFonts w:ascii="Times New Roman" w:hAnsi="Times New Roman"/>
        </w:rPr>
      </w:pPr>
    </w:p>
    <w:bookmarkEnd w:id="0"/>
    <w:p w14:paraId="2DF82FB1" w14:textId="77777777" w:rsidR="00CF1536" w:rsidRPr="00B211E7" w:rsidRDefault="00CF1536" w:rsidP="00CF1536">
      <w:pPr>
        <w:pStyle w:val="Caption"/>
        <w:rPr>
          <w:i w:val="0"/>
          <w:iCs w:val="0"/>
          <w:color w:val="auto"/>
          <w:sz w:val="24"/>
          <w:szCs w:val="24"/>
          <w:lang w:val="en-US"/>
        </w:rPr>
      </w:pPr>
      <w:r w:rsidRPr="00B211E7">
        <w:rPr>
          <w:b/>
          <w:i w:val="0"/>
          <w:color w:val="auto"/>
          <w:sz w:val="24"/>
          <w:szCs w:val="24"/>
          <w:lang w:val="en-US"/>
        </w:rPr>
        <w:t>Table S1</w:t>
      </w:r>
      <w:r w:rsidRPr="00B211E7">
        <w:rPr>
          <w:i w:val="0"/>
          <w:color w:val="auto"/>
          <w:sz w:val="24"/>
          <w:szCs w:val="24"/>
          <w:lang w:val="en-US"/>
        </w:rPr>
        <w:t xml:space="preserve"> </w:t>
      </w:r>
      <w:r w:rsidRPr="00B211E7">
        <w:rPr>
          <w:i w:val="0"/>
          <w:iCs w:val="0"/>
          <w:color w:val="auto"/>
          <w:sz w:val="24"/>
          <w:szCs w:val="24"/>
          <w:lang w:val="en-US"/>
        </w:rPr>
        <w:t>Topological parameters of the complex cellulose-amylum.</w:t>
      </w:r>
    </w:p>
    <w:p w14:paraId="254A6C67" w14:textId="77777777" w:rsidR="00CF1536" w:rsidRPr="00B211E7" w:rsidRDefault="00CF1536" w:rsidP="00CF1536">
      <w:pPr>
        <w:jc w:val="center"/>
        <w:rPr>
          <w:lang w:eastAsia="en-US"/>
        </w:rPr>
      </w:pPr>
      <w:r w:rsidRPr="00B211E7">
        <w:rPr>
          <w:noProof/>
        </w:rPr>
        <w:object w:dxaOrig="4320" w:dyaOrig="4317" w14:anchorId="2BA961F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361pt" o:ole="">
            <v:imagedata r:id="rId10" o:title=""/>
          </v:shape>
          <o:OLEObject Type="Embed" ProgID="Paint.Picture" ShapeID="_x0000_i1025" DrawAspect="Content" ObjectID="_1700685029" r:id="rId11"/>
        </w:object>
      </w:r>
    </w:p>
    <w:p w14:paraId="72EE84EE" w14:textId="748AA676" w:rsidR="00D02C87" w:rsidRPr="00B211E7" w:rsidRDefault="00CF1536">
      <w:r w:rsidRPr="00B211E7">
        <w:rPr>
          <w:rFonts w:ascii="Times New Roman" w:hAnsi="Times New Roman"/>
          <w:b/>
          <w:sz w:val="24"/>
          <w:szCs w:val="24"/>
          <w:lang w:eastAsia="en-US"/>
        </w:rPr>
        <w:t>Figure S1</w:t>
      </w:r>
      <w:r w:rsidRPr="00B211E7">
        <w:rPr>
          <w:rFonts w:ascii="Times New Roman" w:hAnsi="Times New Roman"/>
          <w:sz w:val="24"/>
          <w:szCs w:val="24"/>
          <w:lang w:eastAsia="en-US"/>
        </w:rPr>
        <w:t xml:space="preserve"> Energy optimization of various positions of </w:t>
      </w:r>
      <w:r w:rsidRPr="00B211E7">
        <w:rPr>
          <w:rFonts w:ascii="Times New Roman" w:hAnsi="Times New Roman"/>
          <w:sz w:val="24"/>
          <w:szCs w:val="24"/>
        </w:rPr>
        <w:t>cellulose-amylum complexes: a) position2, b) position3, c) position4, d) position1.</w:t>
      </w:r>
    </w:p>
    <w:sectPr w:rsidR="00D02C87" w:rsidRPr="00B211E7" w:rsidSect="008676BD">
      <w:pgSz w:w="11906" w:h="16838" w:code="9"/>
      <w:pgMar w:top="1440" w:right="1440" w:bottom="1440" w:left="1440" w:header="709" w:footer="709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536"/>
    <w:rsid w:val="000B6E07"/>
    <w:rsid w:val="008800C3"/>
    <w:rsid w:val="009F07E9"/>
    <w:rsid w:val="00B211E7"/>
    <w:rsid w:val="00CF1536"/>
    <w:rsid w:val="00D0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41D64DA"/>
  <w15:chartTrackingRefBased/>
  <w15:docId w15:val="{2FF21F91-8590-4BBB-922B-52D79F55E4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1536"/>
    <w:rPr>
      <w:rFonts w:eastAsiaTheme="minorEastAsia" w:cs="Times New Roman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F1536"/>
    <w:rPr>
      <w:color w:val="0563C1" w:themeColor="hyperlink"/>
      <w:u w:val="single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CF1536"/>
    <w:pPr>
      <w:spacing w:after="200" w:line="240" w:lineRule="auto"/>
    </w:pPr>
    <w:rPr>
      <w:rFonts w:ascii="Times New Roman" w:eastAsia="Arial" w:hAnsi="Times New Roman" w:cs="Arial"/>
      <w:i/>
      <w:iCs/>
      <w:color w:val="44546A" w:themeColor="text2"/>
      <w:sz w:val="18"/>
      <w:szCs w:val="18"/>
      <w:lang w:val="id-ID" w:eastAsia="en-US"/>
    </w:rPr>
  </w:style>
  <w:style w:type="character" w:customStyle="1" w:styleId="CaptionChar">
    <w:name w:val="Caption Char"/>
    <w:basedOn w:val="DefaultParagraphFont"/>
    <w:link w:val="Caption"/>
    <w:uiPriority w:val="35"/>
    <w:rsid w:val="00CF1536"/>
    <w:rPr>
      <w:rFonts w:ascii="Times New Roman" w:eastAsia="Arial" w:hAnsi="Times New Roman" w:cs="Arial"/>
      <w:i/>
      <w:iCs/>
      <w:color w:val="44546A" w:themeColor="text2"/>
      <w:sz w:val="18"/>
      <w:szCs w:val="18"/>
      <w:lang w:val="id-ID"/>
    </w:rPr>
  </w:style>
  <w:style w:type="paragraph" w:customStyle="1" w:styleId="ATitle">
    <w:name w:val="A Title"/>
    <w:basedOn w:val="Normal"/>
    <w:link w:val="ATitleChar"/>
    <w:qFormat/>
    <w:rsid w:val="00CF1536"/>
    <w:pPr>
      <w:spacing w:after="200" w:line="480" w:lineRule="auto"/>
    </w:pPr>
    <w:rPr>
      <w:rFonts w:ascii="Times New Roman" w:hAnsi="Times New Roman"/>
      <w:b/>
      <w:sz w:val="32"/>
      <w:szCs w:val="24"/>
    </w:rPr>
  </w:style>
  <w:style w:type="paragraph" w:customStyle="1" w:styleId="AAuthor">
    <w:name w:val="A Author"/>
    <w:basedOn w:val="Normal"/>
    <w:link w:val="AAuthorChar"/>
    <w:qFormat/>
    <w:rsid w:val="00CF1536"/>
    <w:pPr>
      <w:spacing w:after="200" w:line="480" w:lineRule="auto"/>
    </w:pPr>
    <w:rPr>
      <w:rFonts w:asciiTheme="majorBidi" w:hAnsiTheme="majorBidi" w:cstheme="majorBidi"/>
      <w:sz w:val="24"/>
      <w:szCs w:val="20"/>
    </w:rPr>
  </w:style>
  <w:style w:type="character" w:customStyle="1" w:styleId="ATitleChar">
    <w:name w:val="A Title Char"/>
    <w:basedOn w:val="DefaultParagraphFont"/>
    <w:link w:val="ATitle"/>
    <w:qFormat/>
    <w:rsid w:val="00CF1536"/>
    <w:rPr>
      <w:rFonts w:ascii="Times New Roman" w:eastAsiaTheme="minorEastAsia" w:hAnsi="Times New Roman" w:cs="Times New Roman"/>
      <w:b/>
      <w:sz w:val="32"/>
      <w:szCs w:val="24"/>
      <w:lang w:val="en-US" w:eastAsia="ja-JP"/>
    </w:rPr>
  </w:style>
  <w:style w:type="paragraph" w:customStyle="1" w:styleId="ASub-bab1">
    <w:name w:val="A Sub-bab 1"/>
    <w:basedOn w:val="Normal"/>
    <w:link w:val="ASub-bab1Char"/>
    <w:qFormat/>
    <w:rsid w:val="00CF1536"/>
    <w:pPr>
      <w:spacing w:before="360" w:after="0" w:line="240" w:lineRule="auto"/>
    </w:pPr>
    <w:rPr>
      <w:rFonts w:ascii="Times New Roman" w:hAnsi="Times New Roman"/>
      <w:b/>
    </w:rPr>
  </w:style>
  <w:style w:type="character" w:customStyle="1" w:styleId="AAuthorChar">
    <w:name w:val="A Author Char"/>
    <w:basedOn w:val="DefaultParagraphFont"/>
    <w:link w:val="AAuthor"/>
    <w:rsid w:val="00CF1536"/>
    <w:rPr>
      <w:rFonts w:asciiTheme="majorBidi" w:eastAsiaTheme="minorEastAsia" w:hAnsiTheme="majorBidi" w:cstheme="majorBidi"/>
      <w:sz w:val="24"/>
      <w:szCs w:val="20"/>
      <w:lang w:val="en-US" w:eastAsia="ja-JP"/>
    </w:rPr>
  </w:style>
  <w:style w:type="character" w:customStyle="1" w:styleId="ASub-bab1Char">
    <w:name w:val="A Sub-bab 1 Char"/>
    <w:basedOn w:val="DefaultParagraphFont"/>
    <w:link w:val="ASub-bab1"/>
    <w:rsid w:val="00CF1536"/>
    <w:rPr>
      <w:rFonts w:ascii="Times New Roman" w:eastAsiaTheme="minorEastAsia" w:hAnsi="Times New Roman" w:cs="Times New Roman"/>
      <w:b/>
      <w:lang w:val="en-US" w:eastAsia="ja-JP"/>
    </w:rPr>
  </w:style>
  <w:style w:type="paragraph" w:customStyle="1" w:styleId="AAuthorAddress">
    <w:name w:val="A Author Address"/>
    <w:basedOn w:val="Normal"/>
    <w:link w:val="AAuthorAddressChar"/>
    <w:qFormat/>
    <w:rsid w:val="00CF1536"/>
    <w:pPr>
      <w:spacing w:after="200" w:line="480" w:lineRule="auto"/>
    </w:pPr>
    <w:rPr>
      <w:rFonts w:ascii="Times New Roman" w:eastAsia="Batang" w:hAnsi="Times New Roman"/>
      <w:i/>
      <w:kern w:val="22"/>
      <w:sz w:val="24"/>
      <w:szCs w:val="20"/>
      <w:lang w:eastAsia="en-US"/>
    </w:rPr>
  </w:style>
  <w:style w:type="character" w:customStyle="1" w:styleId="AAuthorAddressChar">
    <w:name w:val="A Author Address Char"/>
    <w:basedOn w:val="DefaultParagraphFont"/>
    <w:link w:val="AAuthorAddress"/>
    <w:rsid w:val="00CF1536"/>
    <w:rPr>
      <w:rFonts w:ascii="Times New Roman" w:eastAsia="Batang" w:hAnsi="Times New Roman" w:cs="Times New Roman"/>
      <w:i/>
      <w:kern w:val="22"/>
      <w:sz w:val="24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ru.seto@atmajaya.ac.id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darufile@gmail.com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2B665D2190DB43AEDC71A7D349BB15" ma:contentTypeVersion="10" ma:contentTypeDescription="Create a new document." ma:contentTypeScope="" ma:versionID="19bc9be05a54a046c311cfbb07bda0ae">
  <xsd:schema xmlns:xsd="http://www.w3.org/2001/XMLSchema" xmlns:xs="http://www.w3.org/2001/XMLSchema" xmlns:p="http://schemas.microsoft.com/office/2006/metadata/properties" xmlns:ns2="6c654997-9d90-485c-b4b1-f0e57af7dda6" targetNamespace="http://schemas.microsoft.com/office/2006/metadata/properties" ma:root="true" ma:fieldsID="828dc13f53cfbbccc79b11820726eb90" ns2:_="">
    <xsd:import namespace="6c654997-9d90-485c-b4b1-f0e57af7dd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654997-9d90-485c-b4b1-f0e57af7dd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1E92DC4-EEBF-438A-BEE9-6429270D9775}">
  <ds:schemaRefs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6c654997-9d90-485c-b4b1-f0e57af7dda6"/>
    <ds:schemaRef ds:uri="http://purl.org/dc/elements/1.1/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BEF6A837-CF04-458F-B2FB-97BCCFDACD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654997-9d90-485c-b4b1-f0e57af7dd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9068D50-28C7-4C61-A6A3-48ED8B625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206</Words>
  <Characters>1175</Characters>
  <Application>Microsoft Office Word</Application>
  <DocSecurity>0</DocSecurity>
  <Lines>9</Lines>
  <Paragraphs>2</Paragraphs>
  <ScaleCrop>false</ScaleCrop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Daru Seto Bagus Anugrah</dc:creator>
  <cp:keywords/>
  <dc:description/>
  <cp:lastModifiedBy>Daru Seto Bagus Anugrah</cp:lastModifiedBy>
  <cp:revision>3</cp:revision>
  <dcterms:created xsi:type="dcterms:W3CDTF">2021-12-10T16:29:00Z</dcterms:created>
  <dcterms:modified xsi:type="dcterms:W3CDTF">2021-12-10T16:44:00Z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0x010100682B665D2190DB43AEDC71A7D349BB15</vt:lpwstr>
  </property>
</Properties>
</file>