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799" w:rsidRPr="00F72799" w:rsidRDefault="00F72799" w:rsidP="00F72799">
      <w:pPr>
        <w:spacing w:after="0" w:line="240" w:lineRule="auto"/>
        <w:jc w:val="both"/>
        <w:rPr>
          <w:rFonts w:ascii="Minion Pro" w:hAnsi="Minion Pro"/>
          <w:b/>
          <w:bCs/>
          <w:color w:val="000000"/>
          <w:sz w:val="18"/>
          <w:szCs w:val="18"/>
        </w:rPr>
      </w:pPr>
      <w:r>
        <w:rPr>
          <w:rFonts w:ascii="Minion Pro" w:hAnsi="Minion Pro"/>
          <w:b/>
          <w:bCs/>
          <w:color w:val="000000"/>
          <w:sz w:val="18"/>
          <w:szCs w:val="18"/>
        </w:rPr>
        <w:t>Table 1</w:t>
      </w:r>
      <w:r w:rsidRPr="00F72799">
        <w:rPr>
          <w:rFonts w:ascii="Minion Pro" w:hAnsi="Minion Pro"/>
          <w:b/>
          <w:bCs/>
          <w:color w:val="000000"/>
          <w:sz w:val="18"/>
          <w:szCs w:val="18"/>
        </w:rPr>
        <w:t xml:space="preserve"> </w:t>
      </w:r>
    </w:p>
    <w:p w:rsidR="00F72799" w:rsidRPr="00F72799" w:rsidRDefault="00F72799" w:rsidP="00F72799">
      <w:pPr>
        <w:spacing w:after="0" w:line="240" w:lineRule="auto"/>
        <w:jc w:val="both"/>
        <w:rPr>
          <w:rFonts w:ascii="Minion Pro" w:hAnsi="Minion Pro"/>
          <w:color w:val="000000"/>
          <w:sz w:val="18"/>
          <w:szCs w:val="18"/>
        </w:rPr>
      </w:pPr>
      <w:r w:rsidRPr="00F72799">
        <w:rPr>
          <w:rFonts w:ascii="Minion Pro" w:hAnsi="Minion Pro"/>
          <w:color w:val="000000"/>
          <w:sz w:val="18"/>
          <w:szCs w:val="18"/>
        </w:rPr>
        <w:t xml:space="preserve">Flood disaster management indicators and MAI alignment </w:t>
      </w:r>
    </w:p>
    <w:tbl>
      <w:tblPr>
        <w:tblW w:w="1428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1406"/>
        <w:gridCol w:w="3042"/>
        <w:gridCol w:w="4962"/>
        <w:gridCol w:w="3543"/>
      </w:tblGrid>
      <w:tr w:rsidR="00F72799" w:rsidRPr="00F72799" w:rsidTr="008B0995"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799" w:rsidRPr="00F72799" w:rsidRDefault="00F72799" w:rsidP="008B099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Minion Pro" w:hAnsi="Minion Pro"/>
                <w:b/>
                <w:bCs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b/>
                <w:bCs/>
                <w:color w:val="000000"/>
                <w:sz w:val="18"/>
                <w:szCs w:val="18"/>
              </w:rPr>
              <w:t>Stages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799" w:rsidRPr="00F72799" w:rsidRDefault="00F72799" w:rsidP="008B099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Minion Pro" w:hAnsi="Minion Pro"/>
                <w:b/>
                <w:bCs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b/>
                <w:bCs/>
                <w:color w:val="000000"/>
                <w:sz w:val="18"/>
                <w:szCs w:val="18"/>
              </w:rPr>
              <w:t>Activity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799" w:rsidRPr="00F72799" w:rsidRDefault="00F72799" w:rsidP="008B099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Minion Pro" w:hAnsi="Minion Pro"/>
                <w:b/>
                <w:bCs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b/>
                <w:bCs/>
                <w:color w:val="000000"/>
                <w:sz w:val="18"/>
                <w:szCs w:val="18"/>
              </w:rPr>
              <w:t>Parameters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F72799" w:rsidRPr="00F72799" w:rsidRDefault="00F72799" w:rsidP="008B099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Minion Pro" w:hAnsi="Minion Pro"/>
                <w:b/>
                <w:bCs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b/>
                <w:bCs/>
                <w:color w:val="000000"/>
                <w:sz w:val="18"/>
                <w:szCs w:val="18"/>
              </w:rPr>
              <w:t xml:space="preserve">Indicator Activity/ Observed Variable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72799" w:rsidRPr="00F72799" w:rsidRDefault="00F72799" w:rsidP="008B0995">
            <w:pPr>
              <w:pStyle w:val="NormalWeb"/>
              <w:spacing w:before="0" w:beforeAutospacing="0" w:after="0" w:afterAutospacing="0"/>
              <w:textAlignment w:val="baseline"/>
              <w:rPr>
                <w:rFonts w:ascii="Minion Pro" w:hAnsi="Minion Pro"/>
                <w:b/>
                <w:bCs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b/>
                <w:bCs/>
                <w:color w:val="000000"/>
                <w:sz w:val="18"/>
                <w:szCs w:val="18"/>
              </w:rPr>
              <w:t>Code of MAI to disaster management activities</w:t>
            </w:r>
          </w:p>
        </w:tc>
      </w:tr>
      <w:tr w:rsidR="00F72799" w:rsidRPr="00F72799" w:rsidTr="008B0995"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</w:tcPr>
          <w:p w:rsidR="00F72799" w:rsidRPr="00F72799" w:rsidRDefault="00F72799" w:rsidP="008B0995">
            <w:pPr>
              <w:pStyle w:val="NormalWeb"/>
              <w:spacing w:before="0" w:beforeAutospacing="0" w:after="0" w:afterAutospacing="0"/>
              <w:textAlignment w:val="baseline"/>
              <w:rPr>
                <w:rFonts w:ascii="Minion Pro" w:hAnsi="Minion Pro"/>
                <w:color w:val="000000"/>
                <w:sz w:val="18"/>
                <w:szCs w:val="18"/>
              </w:rPr>
            </w:pPr>
            <w:proofErr w:type="spellStart"/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Pra</w:t>
            </w:r>
            <w:proofErr w:type="spellEnd"/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 xml:space="preserve"> Disaster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F72799" w:rsidRPr="00F72799" w:rsidRDefault="00F72799" w:rsidP="008B0995">
            <w:pPr>
              <w:pStyle w:val="NormalWeb"/>
              <w:spacing w:before="0" w:beforeAutospacing="0" w:after="0" w:afterAutospacing="0"/>
              <w:textAlignment w:val="baseline"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Preparedness (</w:t>
            </w:r>
            <w:proofErr w:type="spellStart"/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Pr</w:t>
            </w:r>
            <w:proofErr w:type="spellEnd"/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)</w:t>
            </w:r>
          </w:p>
        </w:tc>
        <w:tc>
          <w:tcPr>
            <w:tcW w:w="3042" w:type="dxa"/>
            <w:tcBorders>
              <w:top w:val="single" w:sz="4" w:space="0" w:color="auto"/>
            </w:tcBorders>
            <w:shd w:val="clear" w:color="auto" w:fill="auto"/>
          </w:tcPr>
          <w:p w:rsidR="00F72799" w:rsidRPr="00F72799" w:rsidRDefault="00F72799" w:rsidP="008B0995">
            <w:pPr>
              <w:spacing w:line="240" w:lineRule="auto"/>
              <w:rPr>
                <w:rFonts w:ascii="Minion Pro" w:hAnsi="Minion Pro"/>
                <w:color w:val="000000"/>
                <w:sz w:val="18"/>
                <w:szCs w:val="18"/>
              </w:rPr>
            </w:pPr>
            <w:proofErr w:type="spellStart"/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Millennials</w:t>
            </w:r>
            <w:proofErr w:type="spellEnd"/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 xml:space="preserve"> have a role or involves in arranging disaster management strategies, goals or preparedness plan, preparing requirements even playing as a leader.  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8" w:hanging="218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Creating flood disaster management plan.</w:t>
            </w:r>
          </w:p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8" w:hanging="218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Preparation and testing of disaster emergency response plans.</w:t>
            </w:r>
          </w:p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8" w:hanging="218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Organizing, installing and testing an early warning system.</w:t>
            </w:r>
          </w:p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8" w:hanging="218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Provision and preparation of logistics.</w:t>
            </w:r>
          </w:p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8" w:hanging="218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Fulfillment of basic needs.</w:t>
            </w:r>
          </w:p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8" w:hanging="218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Counseling, training, and rehearsal.</w:t>
            </w:r>
          </w:p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8" w:hanging="218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Evacuation site preparation.</w:t>
            </w:r>
          </w:p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8" w:hanging="218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Accurate data preparation, information, and updating procedures for disaster emergency response.</w:t>
            </w:r>
          </w:p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8" w:hanging="218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Provision and preparation of materials, goods and equipment to fulfill the recovery of infrastructure and facilities.</w:t>
            </w:r>
          </w:p>
          <w:p w:rsidR="00F72799" w:rsidRPr="00F72799" w:rsidRDefault="00F72799" w:rsidP="008B0995">
            <w:pPr>
              <w:spacing w:line="240" w:lineRule="auto"/>
              <w:rPr>
                <w:rFonts w:ascii="Minion Pro" w:hAnsi="Minion Pro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8" w:hanging="218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 xml:space="preserve">5-DK; </w:t>
            </w:r>
          </w:p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8" w:hanging="218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14-PK; 27-PK;</w:t>
            </w:r>
          </w:p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8" w:hanging="218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26-CK; 29-CK; 35-CK.</w:t>
            </w:r>
          </w:p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8" w:hanging="218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4-P; 6-P; 8-P; 22-P; 42-P; 45-P; 23-P;</w:t>
            </w:r>
          </w:p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8" w:hanging="218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 xml:space="preserve">13-IMS; 47-IMS; </w:t>
            </w:r>
          </w:p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8" w:hanging="218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 xml:space="preserve">51-DS; 52-DS; 44-DS; </w:t>
            </w:r>
          </w:p>
          <w:p w:rsidR="00F72799" w:rsidRPr="00F72799" w:rsidRDefault="00F72799" w:rsidP="008B0995">
            <w:pPr>
              <w:spacing w:line="240" w:lineRule="auto"/>
              <w:rPr>
                <w:rFonts w:ascii="Minion Pro" w:hAnsi="Minion Pro"/>
                <w:color w:val="000000"/>
                <w:sz w:val="18"/>
                <w:szCs w:val="18"/>
              </w:rPr>
            </w:pPr>
          </w:p>
        </w:tc>
      </w:tr>
      <w:tr w:rsidR="00F72799" w:rsidRPr="00F72799" w:rsidTr="008B0995">
        <w:tc>
          <w:tcPr>
            <w:tcW w:w="1330" w:type="dxa"/>
            <w:shd w:val="clear" w:color="auto" w:fill="auto"/>
          </w:tcPr>
          <w:p w:rsidR="00F72799" w:rsidRPr="00F72799" w:rsidRDefault="00F72799" w:rsidP="008B0995">
            <w:pPr>
              <w:spacing w:line="240" w:lineRule="auto"/>
              <w:rPr>
                <w:rFonts w:ascii="Minion Pro" w:hAnsi="Minion Pro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</w:tcPr>
          <w:p w:rsidR="00F72799" w:rsidRPr="00F72799" w:rsidRDefault="00F72799" w:rsidP="008B0995">
            <w:pPr>
              <w:spacing w:line="240" w:lineRule="auto"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Mitigation (Mt)</w:t>
            </w:r>
          </w:p>
          <w:p w:rsidR="00F72799" w:rsidRPr="00F72799" w:rsidRDefault="00F72799" w:rsidP="008B0995">
            <w:pPr>
              <w:pStyle w:val="NormalWeb"/>
              <w:spacing w:before="0" w:beforeAutospacing="0" w:after="0" w:afterAutospacing="0"/>
              <w:textAlignment w:val="baseline"/>
              <w:rPr>
                <w:rFonts w:ascii="Minion Pro" w:hAnsi="Minion Pro"/>
                <w:color w:val="000000"/>
                <w:sz w:val="18"/>
                <w:szCs w:val="18"/>
              </w:rPr>
            </w:pPr>
          </w:p>
        </w:tc>
        <w:tc>
          <w:tcPr>
            <w:tcW w:w="3042" w:type="dxa"/>
            <w:shd w:val="clear" w:color="auto" w:fill="auto"/>
          </w:tcPr>
          <w:p w:rsidR="00F72799" w:rsidRPr="00F72799" w:rsidRDefault="00F72799" w:rsidP="008B0995">
            <w:pPr>
              <w:pStyle w:val="NormalWeb"/>
              <w:spacing w:before="0" w:beforeAutospacing="0" w:after="0" w:afterAutospacing="0"/>
              <w:textAlignment w:val="baseline"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 xml:space="preserve">The flood disaster mitigation can be implemented by </w:t>
            </w:r>
            <w:proofErr w:type="spellStart"/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millennials</w:t>
            </w:r>
            <w:proofErr w:type="spellEnd"/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 xml:space="preserve"> in several ways such as replanting activities, community service, cleaning up the surrounding environmental, construct sand wall, or environmental-campaign. </w:t>
            </w:r>
          </w:p>
        </w:tc>
        <w:tc>
          <w:tcPr>
            <w:tcW w:w="4962" w:type="dxa"/>
          </w:tcPr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8" w:hanging="218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Sea-wall construction.</w:t>
            </w:r>
          </w:p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8" w:hanging="218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Implementation of designed flood early warning system with other community levels.*</w:t>
            </w:r>
          </w:p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8" w:hanging="218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Participating in infrastructure arrangements, such as: drainage improvement and making retention well.*</w:t>
            </w:r>
          </w:p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8" w:hanging="218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Providing education, counseling and training both conventional and modern approach to kids.*</w:t>
            </w:r>
          </w:p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8" w:hanging="218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Adjusting environment services by tree planting in riverbank and mangrove tree in coastal area.*</w:t>
            </w:r>
          </w:p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8" w:hanging="218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No plastic usage and eco-bag campaign.*</w:t>
            </w:r>
          </w:p>
        </w:tc>
        <w:tc>
          <w:tcPr>
            <w:tcW w:w="3543" w:type="dxa"/>
          </w:tcPr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8" w:hanging="218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5-DK; 12-DK; 16-DK; 17-DK;</w:t>
            </w:r>
          </w:p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8" w:hanging="218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 xml:space="preserve">26-CK; 29-CK; 35-CK; </w:t>
            </w:r>
          </w:p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8" w:hanging="218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 xml:space="preserve">6-P; 23-P; </w:t>
            </w:r>
          </w:p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8" w:hanging="218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 xml:space="preserve">41-IMS; </w:t>
            </w:r>
          </w:p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8" w:hanging="218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 xml:space="preserve">11-CM; </w:t>
            </w:r>
          </w:p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8" w:hanging="218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 xml:space="preserve">25-DS; </w:t>
            </w:r>
          </w:p>
        </w:tc>
      </w:tr>
      <w:tr w:rsidR="00F72799" w:rsidRPr="00F72799" w:rsidTr="008B0995">
        <w:tc>
          <w:tcPr>
            <w:tcW w:w="1330" w:type="dxa"/>
            <w:shd w:val="clear" w:color="auto" w:fill="auto"/>
          </w:tcPr>
          <w:p w:rsidR="00F72799" w:rsidRPr="00F72799" w:rsidRDefault="00F72799" w:rsidP="008B0995">
            <w:pPr>
              <w:spacing w:line="240" w:lineRule="auto"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When a disaster occurs</w:t>
            </w:r>
          </w:p>
        </w:tc>
        <w:tc>
          <w:tcPr>
            <w:tcW w:w="1406" w:type="dxa"/>
            <w:shd w:val="clear" w:color="auto" w:fill="auto"/>
          </w:tcPr>
          <w:p w:rsidR="00F72799" w:rsidRPr="00F72799" w:rsidRDefault="00F72799" w:rsidP="008B0995">
            <w:pPr>
              <w:spacing w:line="240" w:lineRule="auto"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Emergency response (ER)</w:t>
            </w:r>
          </w:p>
          <w:p w:rsidR="00F72799" w:rsidRPr="00F72799" w:rsidRDefault="00F72799" w:rsidP="008B0995">
            <w:pPr>
              <w:pStyle w:val="NormalWeb"/>
              <w:spacing w:before="0" w:beforeAutospacing="0" w:after="0" w:afterAutospacing="0"/>
              <w:textAlignment w:val="baseline"/>
              <w:rPr>
                <w:rFonts w:ascii="Minion Pro" w:hAnsi="Minion Pro"/>
                <w:color w:val="000000"/>
                <w:sz w:val="18"/>
                <w:szCs w:val="18"/>
              </w:rPr>
            </w:pPr>
          </w:p>
        </w:tc>
        <w:tc>
          <w:tcPr>
            <w:tcW w:w="3042" w:type="dxa"/>
            <w:shd w:val="clear" w:color="auto" w:fill="auto"/>
          </w:tcPr>
          <w:p w:rsidR="00F72799" w:rsidRPr="00F72799" w:rsidRDefault="00F72799" w:rsidP="008B0995">
            <w:pPr>
              <w:pStyle w:val="NormalWeb"/>
              <w:spacing w:before="0" w:beforeAutospacing="0" w:after="0" w:afterAutospacing="0"/>
              <w:textAlignment w:val="baseline"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 xml:space="preserve">Youth have a passion in helping others, supported by excellent personnel and technological abilities that collecting information wisely and spread it widely. It makes young people as </w:t>
            </w:r>
            <w:proofErr w:type="spellStart"/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millennials</w:t>
            </w:r>
            <w:proofErr w:type="spellEnd"/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 xml:space="preserve"> relied on in handling disasters.</w:t>
            </w:r>
          </w:p>
          <w:p w:rsidR="00F72799" w:rsidRPr="00F72799" w:rsidRDefault="00F72799" w:rsidP="008B0995">
            <w:pPr>
              <w:pStyle w:val="NormalWeb"/>
              <w:spacing w:before="0" w:beforeAutospacing="0" w:after="0" w:afterAutospacing="0"/>
              <w:textAlignment w:val="baseline"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millennials</w:t>
            </w:r>
            <w:proofErr w:type="spellEnd"/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 xml:space="preserve"> require to think fast in decision making as a respond of the disaster problem they face.</w:t>
            </w:r>
          </w:p>
        </w:tc>
        <w:tc>
          <w:tcPr>
            <w:tcW w:w="4962" w:type="dxa"/>
          </w:tcPr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8" w:hanging="218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Rapid and precise assessment of location, damage and resources</w:t>
            </w:r>
          </w:p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8" w:hanging="218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Determination of disaster emergency status</w:t>
            </w:r>
          </w:p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8" w:hanging="218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Rescuing and evacuating affected communities.</w:t>
            </w:r>
          </w:p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8" w:hanging="218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Meeting basic needs.</w:t>
            </w:r>
          </w:p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8" w:hanging="218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Protection of vulnerable groups.</w:t>
            </w:r>
          </w:p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8" w:hanging="218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Immediate recovery of vital infrastructure and facilities.</w:t>
            </w:r>
          </w:p>
        </w:tc>
        <w:tc>
          <w:tcPr>
            <w:tcW w:w="3543" w:type="dxa"/>
          </w:tcPr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0" w:hanging="170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5-DK; 10-DK; 12-DK; 20-DK; 46-DK;</w:t>
            </w:r>
          </w:p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0" w:hanging="170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3-PK; 33-PK;</w:t>
            </w:r>
          </w:p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0" w:hanging="170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 xml:space="preserve">18-CK; 26-CK; 29-CK; 35-CK; </w:t>
            </w:r>
          </w:p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0" w:hanging="170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 xml:space="preserve">4-P; 6-P; 23-P; </w:t>
            </w:r>
          </w:p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0" w:hanging="170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9-IMS;</w:t>
            </w:r>
            <w:r w:rsidRPr="00F72799">
              <w:rPr>
                <w:rFonts w:ascii="Minion Pro" w:hAnsi="Minion Pro"/>
                <w:sz w:val="18"/>
                <w:szCs w:val="18"/>
              </w:rPr>
              <w:t xml:space="preserve"> </w:t>
            </w: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13-IMS; 37-IMS; 41-IMS; 39-IMS; 48-IMS</w:t>
            </w:r>
          </w:p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0" w:hanging="170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 xml:space="preserve">2-CM; 11-CM; 28-CM;34-CM; </w:t>
            </w:r>
          </w:p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0" w:hanging="170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 xml:space="preserve">25-DS; 40-DS; </w:t>
            </w:r>
          </w:p>
        </w:tc>
      </w:tr>
      <w:tr w:rsidR="00F72799" w:rsidRPr="00F72799" w:rsidTr="008B0995">
        <w:tc>
          <w:tcPr>
            <w:tcW w:w="1330" w:type="dxa"/>
            <w:shd w:val="clear" w:color="auto" w:fill="auto"/>
          </w:tcPr>
          <w:p w:rsidR="00F72799" w:rsidRPr="00F72799" w:rsidRDefault="00F72799" w:rsidP="008B0995">
            <w:pPr>
              <w:spacing w:line="240" w:lineRule="auto"/>
              <w:rPr>
                <w:rFonts w:ascii="Minion Pro" w:hAnsi="Minion Pro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</w:tcPr>
          <w:p w:rsidR="00F72799" w:rsidRPr="00F72799" w:rsidRDefault="00F72799" w:rsidP="008B0995">
            <w:pPr>
              <w:spacing w:line="240" w:lineRule="auto"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Adaptation (Ad)</w:t>
            </w:r>
          </w:p>
        </w:tc>
        <w:tc>
          <w:tcPr>
            <w:tcW w:w="3042" w:type="dxa"/>
            <w:shd w:val="clear" w:color="auto" w:fill="auto"/>
          </w:tcPr>
          <w:p w:rsidR="00F72799" w:rsidRPr="00F72799" w:rsidRDefault="00F72799" w:rsidP="008B0995">
            <w:pPr>
              <w:pStyle w:val="NormalWeb"/>
              <w:spacing w:before="0" w:beforeAutospacing="0" w:after="0" w:afterAutospacing="0"/>
              <w:textAlignment w:val="baseline"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millennials</w:t>
            </w:r>
            <w:proofErr w:type="spellEnd"/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 xml:space="preserve"> predict the flooding phenomenon of flooding by observing at the rain fall intensity, prioritizing basic needs, developing kinship system, responsible to help other especially disable person. The </w:t>
            </w:r>
            <w:proofErr w:type="spellStart"/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millennials</w:t>
            </w:r>
            <w:proofErr w:type="spellEnd"/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 xml:space="preserve"> are also able to develop </w:t>
            </w: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lastRenderedPageBreak/>
              <w:t>cooperation carried out community solidarity</w:t>
            </w:r>
          </w:p>
        </w:tc>
        <w:tc>
          <w:tcPr>
            <w:tcW w:w="4962" w:type="dxa"/>
          </w:tcPr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8" w:hanging="218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lastRenderedPageBreak/>
              <w:t>Assessing forecasting and using technology and information to predict flood.</w:t>
            </w:r>
          </w:p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8" w:hanging="218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Keeping save all precious belonging.*</w:t>
            </w:r>
          </w:p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8" w:hanging="218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Packing securities in water-proof container or bag to easing to carry.*</w:t>
            </w:r>
          </w:p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8" w:hanging="218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 xml:space="preserve">Prioritizing </w:t>
            </w:r>
            <w:proofErr w:type="spellStart"/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diffable</w:t>
            </w:r>
            <w:proofErr w:type="spellEnd"/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 xml:space="preserve"> and elder evacuation plan.</w:t>
            </w:r>
          </w:p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8" w:hanging="218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Health education related to flood/ water-borne diseases.*</w:t>
            </w:r>
          </w:p>
        </w:tc>
        <w:tc>
          <w:tcPr>
            <w:tcW w:w="3543" w:type="dxa"/>
          </w:tcPr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8" w:hanging="218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5-DK; 12-DK; 16-DK;</w:t>
            </w:r>
          </w:p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8" w:hanging="218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3-PK;</w:t>
            </w:r>
          </w:p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8" w:hanging="218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26-CK; 29-CK; 35-CK;</w:t>
            </w:r>
          </w:p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8" w:hanging="218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 xml:space="preserve">6-P; 23-P; </w:t>
            </w:r>
          </w:p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8" w:hanging="218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30-IMS; 31-IMS; 41-IMS; 43-IMS</w:t>
            </w:r>
          </w:p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8" w:hanging="218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2-CM; 11-CM; 34-CM;</w:t>
            </w:r>
          </w:p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8" w:hanging="218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 xml:space="preserve">25-DS; </w:t>
            </w:r>
          </w:p>
        </w:tc>
      </w:tr>
      <w:tr w:rsidR="00F72799" w:rsidRPr="00F72799" w:rsidTr="008B0995">
        <w:tc>
          <w:tcPr>
            <w:tcW w:w="1330" w:type="dxa"/>
            <w:shd w:val="clear" w:color="auto" w:fill="auto"/>
          </w:tcPr>
          <w:p w:rsidR="00F72799" w:rsidRPr="00F72799" w:rsidRDefault="00F72799" w:rsidP="008B0995">
            <w:pPr>
              <w:spacing w:line="240" w:lineRule="auto"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lastRenderedPageBreak/>
              <w:t>Post-Disaster</w:t>
            </w:r>
          </w:p>
          <w:p w:rsidR="00F72799" w:rsidRPr="00F72799" w:rsidRDefault="00F72799" w:rsidP="008B0995">
            <w:pPr>
              <w:spacing w:line="240" w:lineRule="auto"/>
              <w:rPr>
                <w:rFonts w:ascii="Minion Pro" w:hAnsi="Minion Pro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</w:tcPr>
          <w:p w:rsidR="00F72799" w:rsidRPr="00F72799" w:rsidRDefault="00F72799" w:rsidP="008B0995">
            <w:pPr>
              <w:spacing w:line="240" w:lineRule="auto"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Rehabilitation/ recovery skill (RS)</w:t>
            </w:r>
          </w:p>
        </w:tc>
        <w:tc>
          <w:tcPr>
            <w:tcW w:w="3042" w:type="dxa"/>
            <w:shd w:val="clear" w:color="auto" w:fill="auto"/>
          </w:tcPr>
          <w:p w:rsidR="00F72799" w:rsidRPr="00F72799" w:rsidRDefault="00F72799" w:rsidP="008B0995">
            <w:pPr>
              <w:pStyle w:val="NormalWeb"/>
              <w:spacing w:before="0" w:beforeAutospacing="0" w:after="0" w:afterAutospacing="0"/>
              <w:textAlignment w:val="baseline"/>
              <w:rPr>
                <w:rFonts w:ascii="Minion Pro" w:hAnsi="Minion Pro"/>
                <w:color w:val="000000"/>
                <w:sz w:val="18"/>
                <w:szCs w:val="18"/>
              </w:rPr>
            </w:pPr>
            <w:proofErr w:type="spellStart"/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Millennials</w:t>
            </w:r>
            <w:proofErr w:type="spellEnd"/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 xml:space="preserve"> has been proven to play a role in post-disaster rehabilitation and reconstruction activities. In many case, young people more active voluntarily helping kids and elder overcome their post-disaster trauma. </w:t>
            </w:r>
          </w:p>
        </w:tc>
        <w:tc>
          <w:tcPr>
            <w:tcW w:w="4962" w:type="dxa"/>
          </w:tcPr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8" w:hanging="218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Searching and rescuing victims</w:t>
            </w:r>
          </w:p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8" w:hanging="218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Emergency rescue</w:t>
            </w:r>
          </w:p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8" w:hanging="218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Evacuating victims</w:t>
            </w:r>
          </w:p>
        </w:tc>
        <w:tc>
          <w:tcPr>
            <w:tcW w:w="3543" w:type="dxa"/>
          </w:tcPr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8" w:hanging="218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 xml:space="preserve">5-DK; 16-DK; </w:t>
            </w:r>
          </w:p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8" w:hanging="218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15-CK; 26-CK; 29-CK; 35-CK;</w:t>
            </w:r>
          </w:p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8" w:hanging="218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 xml:space="preserve">6-P; </w:t>
            </w:r>
          </w:p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8" w:hanging="218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 xml:space="preserve">41-IMS; 39-IMS; </w:t>
            </w:r>
          </w:p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8" w:hanging="218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2-CM; 49-CM</w:t>
            </w:r>
          </w:p>
        </w:tc>
      </w:tr>
      <w:tr w:rsidR="00F72799" w:rsidRPr="00F72799" w:rsidTr="008B0995">
        <w:tc>
          <w:tcPr>
            <w:tcW w:w="1330" w:type="dxa"/>
            <w:shd w:val="clear" w:color="auto" w:fill="auto"/>
          </w:tcPr>
          <w:p w:rsidR="00F72799" w:rsidRPr="00F72799" w:rsidRDefault="00F72799" w:rsidP="008B0995">
            <w:pPr>
              <w:spacing w:line="240" w:lineRule="auto"/>
              <w:rPr>
                <w:rFonts w:ascii="Minion Pro" w:hAnsi="Minion Pro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auto"/>
          </w:tcPr>
          <w:p w:rsidR="00F72799" w:rsidRPr="00F72799" w:rsidRDefault="00F72799" w:rsidP="008B0995">
            <w:pPr>
              <w:spacing w:line="240" w:lineRule="auto"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Program evaluation and developing lesson learn (PE)</w:t>
            </w:r>
          </w:p>
        </w:tc>
        <w:tc>
          <w:tcPr>
            <w:tcW w:w="3042" w:type="dxa"/>
            <w:shd w:val="clear" w:color="auto" w:fill="auto"/>
          </w:tcPr>
          <w:p w:rsidR="00F72799" w:rsidRPr="00F72799" w:rsidRDefault="00F72799" w:rsidP="008B0995">
            <w:pPr>
              <w:pStyle w:val="NormalWeb"/>
              <w:spacing w:before="0" w:beforeAutospacing="0" w:after="0" w:afterAutospacing="0"/>
              <w:textAlignment w:val="baseline"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millennials</w:t>
            </w:r>
            <w:proofErr w:type="spellEnd"/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 xml:space="preserve"> able to develop their critical thinking skill to analyze the advantages and disadvantages of the strategy effectiveness after disaster management implementation</w:t>
            </w:r>
          </w:p>
        </w:tc>
        <w:tc>
          <w:tcPr>
            <w:tcW w:w="4962" w:type="dxa"/>
          </w:tcPr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8" w:hanging="218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Self-evaluation in disaster preparedness.</w:t>
            </w:r>
          </w:p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8" w:hanging="218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Assessing flood disaster management plan implementation.</w:t>
            </w:r>
          </w:p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8" w:hanging="218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 xml:space="preserve">Evaluation stakeholder involvement in disaster management implementation </w:t>
            </w:r>
          </w:p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8" w:hanging="218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Developing and accomplishing management strategies from lesson learn.</w:t>
            </w:r>
          </w:p>
        </w:tc>
        <w:tc>
          <w:tcPr>
            <w:tcW w:w="3543" w:type="dxa"/>
          </w:tcPr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0" w:hanging="170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 xml:space="preserve">32-DK; </w:t>
            </w:r>
          </w:p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0" w:hanging="170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 xml:space="preserve">13-IMS; 41-IMS; </w:t>
            </w:r>
          </w:p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0" w:hanging="170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 xml:space="preserve">1-CM; 21-CM; </w:t>
            </w:r>
          </w:p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0" w:hanging="170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 xml:space="preserve">44-DS; </w:t>
            </w:r>
          </w:p>
          <w:p w:rsidR="00F72799" w:rsidRPr="00F72799" w:rsidRDefault="00F72799" w:rsidP="00F72799">
            <w:pPr>
              <w:pStyle w:val="ListParagraph"/>
              <w:numPr>
                <w:ilvl w:val="0"/>
                <w:numId w:val="1"/>
              </w:numPr>
              <w:ind w:left="170" w:hanging="170"/>
              <w:contextualSpacing/>
              <w:rPr>
                <w:rFonts w:ascii="Minion Pro" w:hAnsi="Minion Pro"/>
                <w:color w:val="000000"/>
                <w:sz w:val="18"/>
                <w:szCs w:val="18"/>
              </w:rPr>
            </w:pPr>
            <w:r w:rsidRPr="00F72799">
              <w:rPr>
                <w:rFonts w:ascii="Minion Pro" w:hAnsi="Minion Pro"/>
                <w:color w:val="000000"/>
                <w:sz w:val="18"/>
                <w:szCs w:val="18"/>
              </w:rPr>
              <w:t>7-E; 19-E; 24-E; 36-E; 38-E; 50-E</w:t>
            </w:r>
          </w:p>
        </w:tc>
      </w:tr>
    </w:tbl>
    <w:p w:rsidR="00F72799" w:rsidRPr="00F72799" w:rsidRDefault="00F72799" w:rsidP="00F72799">
      <w:pPr>
        <w:ind w:left="709" w:hanging="709"/>
        <w:jc w:val="both"/>
        <w:rPr>
          <w:rFonts w:ascii="Minion Pro" w:hAnsi="Minion Pro"/>
          <w:color w:val="000000"/>
          <w:sz w:val="18"/>
          <w:szCs w:val="18"/>
        </w:rPr>
      </w:pPr>
      <w:r w:rsidRPr="00F72799">
        <w:rPr>
          <w:rFonts w:ascii="Minion Pro" w:hAnsi="Minion Pro"/>
          <w:color w:val="000000"/>
          <w:sz w:val="18"/>
          <w:szCs w:val="18"/>
        </w:rPr>
        <w:t>Note:</w:t>
      </w:r>
      <w:r w:rsidRPr="00F72799">
        <w:rPr>
          <w:rFonts w:ascii="Minion Pro" w:hAnsi="Minion Pro"/>
          <w:color w:val="000000"/>
          <w:sz w:val="18"/>
          <w:szCs w:val="18"/>
        </w:rPr>
        <w:tab/>
        <w:t>The activity in disaster management was developed by the author based on site observation and Regulation of the Republic of Indonesia Number 24 Year 2007. Star mark (*) indicates all activities has conducted by millennial in current decade.</w:t>
      </w:r>
    </w:p>
    <w:p w:rsidR="0002290B" w:rsidRDefault="0002290B">
      <w:pPr>
        <w:rPr>
          <w:sz w:val="18"/>
          <w:szCs w:val="18"/>
        </w:rPr>
      </w:pPr>
    </w:p>
    <w:p w:rsidR="008B0995" w:rsidRDefault="008B0995">
      <w:pPr>
        <w:rPr>
          <w:sz w:val="18"/>
          <w:szCs w:val="18"/>
        </w:rPr>
      </w:pPr>
    </w:p>
    <w:p w:rsidR="008B0995" w:rsidRDefault="008B0995">
      <w:pPr>
        <w:rPr>
          <w:sz w:val="18"/>
          <w:szCs w:val="18"/>
        </w:rPr>
      </w:pPr>
    </w:p>
    <w:p w:rsidR="008B0995" w:rsidRDefault="008B0995">
      <w:pPr>
        <w:rPr>
          <w:sz w:val="18"/>
          <w:szCs w:val="18"/>
        </w:rPr>
      </w:pPr>
    </w:p>
    <w:p w:rsidR="008B0995" w:rsidRDefault="008B0995">
      <w:pPr>
        <w:rPr>
          <w:sz w:val="18"/>
          <w:szCs w:val="18"/>
        </w:rPr>
      </w:pPr>
    </w:p>
    <w:p w:rsidR="008B0995" w:rsidRDefault="008B0995">
      <w:pPr>
        <w:rPr>
          <w:sz w:val="18"/>
          <w:szCs w:val="18"/>
        </w:rPr>
      </w:pPr>
    </w:p>
    <w:p w:rsidR="008B0995" w:rsidRDefault="008B0995">
      <w:pPr>
        <w:rPr>
          <w:sz w:val="18"/>
          <w:szCs w:val="18"/>
        </w:rPr>
      </w:pPr>
    </w:p>
    <w:p w:rsidR="008B0995" w:rsidRDefault="008B0995">
      <w:pPr>
        <w:rPr>
          <w:sz w:val="18"/>
          <w:szCs w:val="18"/>
        </w:rPr>
      </w:pPr>
    </w:p>
    <w:p w:rsidR="008B0995" w:rsidRDefault="008B0995">
      <w:pPr>
        <w:rPr>
          <w:sz w:val="18"/>
          <w:szCs w:val="18"/>
        </w:rPr>
      </w:pPr>
    </w:p>
    <w:p w:rsidR="008B0995" w:rsidRDefault="008B0995">
      <w:pPr>
        <w:rPr>
          <w:sz w:val="18"/>
          <w:szCs w:val="18"/>
        </w:rPr>
      </w:pPr>
    </w:p>
    <w:p w:rsidR="008B0995" w:rsidRDefault="008B0995">
      <w:pPr>
        <w:rPr>
          <w:sz w:val="18"/>
          <w:szCs w:val="18"/>
        </w:rPr>
      </w:pPr>
    </w:p>
    <w:p w:rsidR="008B0995" w:rsidRDefault="008B0995">
      <w:pPr>
        <w:rPr>
          <w:sz w:val="18"/>
          <w:szCs w:val="18"/>
        </w:rPr>
      </w:pPr>
    </w:p>
    <w:p w:rsidR="008B0995" w:rsidRDefault="008B0995">
      <w:pPr>
        <w:rPr>
          <w:sz w:val="18"/>
          <w:szCs w:val="18"/>
        </w:rPr>
      </w:pPr>
    </w:p>
    <w:p w:rsidR="008B0995" w:rsidRPr="009562FB" w:rsidRDefault="008B0995" w:rsidP="008B0995">
      <w:pPr>
        <w:pStyle w:val="Caption"/>
        <w:spacing w:after="0"/>
        <w:jc w:val="both"/>
        <w:rPr>
          <w:rFonts w:ascii="Minion Pro" w:eastAsia="Times New Roman" w:hAnsi="Minion Pro"/>
          <w:b/>
          <w:bCs/>
          <w:i w:val="0"/>
          <w:iCs w:val="0"/>
          <w:color w:val="111111"/>
          <w:sz w:val="20"/>
          <w:szCs w:val="20"/>
          <w:lang w:val="en-US"/>
        </w:rPr>
      </w:pPr>
      <w:r w:rsidRPr="009562FB">
        <w:rPr>
          <w:rFonts w:ascii="Minion Pro" w:eastAsia="Times New Roman" w:hAnsi="Minion Pro"/>
          <w:b/>
          <w:bCs/>
          <w:i w:val="0"/>
          <w:iCs w:val="0"/>
          <w:color w:val="111111"/>
          <w:sz w:val="20"/>
          <w:szCs w:val="20"/>
          <w:lang w:val="en-US"/>
        </w:rPr>
        <w:lastRenderedPageBreak/>
        <w:t xml:space="preserve">Table </w:t>
      </w:r>
      <w:r w:rsidR="002152B2">
        <w:rPr>
          <w:rFonts w:ascii="Minion Pro" w:eastAsia="Times New Roman" w:hAnsi="Minion Pro"/>
          <w:b/>
          <w:bCs/>
          <w:i w:val="0"/>
          <w:iCs w:val="0"/>
          <w:color w:val="111111"/>
          <w:sz w:val="20"/>
          <w:szCs w:val="20"/>
          <w:lang w:val="en-US"/>
        </w:rPr>
        <w:t>2</w:t>
      </w:r>
      <w:bookmarkStart w:id="0" w:name="_GoBack"/>
      <w:bookmarkEnd w:id="0"/>
      <w:r w:rsidRPr="009562FB">
        <w:rPr>
          <w:rFonts w:ascii="Minion Pro" w:eastAsia="Times New Roman" w:hAnsi="Minion Pro"/>
          <w:b/>
          <w:bCs/>
          <w:i w:val="0"/>
          <w:iCs w:val="0"/>
          <w:color w:val="111111"/>
          <w:sz w:val="20"/>
          <w:szCs w:val="20"/>
          <w:lang w:val="en-US"/>
        </w:rPr>
        <w:t xml:space="preserve">. </w:t>
      </w:r>
    </w:p>
    <w:p w:rsidR="008B0995" w:rsidRPr="009562FB" w:rsidRDefault="008B0995" w:rsidP="008B0995">
      <w:pPr>
        <w:pStyle w:val="Caption"/>
        <w:spacing w:after="0"/>
        <w:jc w:val="both"/>
        <w:rPr>
          <w:rFonts w:ascii="Minion Pro" w:eastAsia="Times New Roman" w:hAnsi="Minion Pro"/>
          <w:i w:val="0"/>
          <w:iCs w:val="0"/>
          <w:color w:val="111111"/>
          <w:sz w:val="20"/>
          <w:szCs w:val="20"/>
          <w:lang w:val="en-US"/>
        </w:rPr>
      </w:pPr>
      <w:r w:rsidRPr="009562FB">
        <w:rPr>
          <w:rFonts w:ascii="Minion Pro" w:eastAsia="Times New Roman" w:hAnsi="Minion Pro"/>
          <w:i w:val="0"/>
          <w:iCs w:val="0"/>
          <w:color w:val="111111"/>
          <w:sz w:val="20"/>
          <w:szCs w:val="20"/>
          <w:lang w:val="en-US"/>
        </w:rPr>
        <w:t>Developed and modified metacognitive inventory statement based on MAI</w:t>
      </w:r>
    </w:p>
    <w:tbl>
      <w:tblPr>
        <w:tblStyle w:val="TableGrid"/>
        <w:tblW w:w="907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7547"/>
      </w:tblGrid>
      <w:tr w:rsidR="008B0995" w:rsidRPr="000A3BFC" w:rsidTr="008B0995">
        <w:trPr>
          <w:trHeight w:val="275"/>
          <w:tblHeader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B0995" w:rsidRPr="000A3BFC" w:rsidRDefault="008B0995" w:rsidP="008B0995">
            <w:pPr>
              <w:pStyle w:val="TableParagraph"/>
              <w:ind w:left="-23"/>
              <w:jc w:val="center"/>
              <w:rPr>
                <w:rFonts w:ascii="Minion Pro" w:eastAsia="Times New Roman" w:hAnsi="Minion Pro" w:cs="Times New Roman"/>
                <w:b/>
                <w:bCs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b/>
                <w:bCs/>
                <w:color w:val="111111"/>
                <w:sz w:val="18"/>
                <w:lang w:bidi="ar-SA"/>
              </w:rPr>
              <w:t>Metacognitive number code</w:t>
            </w:r>
          </w:p>
        </w:tc>
        <w:tc>
          <w:tcPr>
            <w:tcW w:w="754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B0995" w:rsidRPr="000A3BFC" w:rsidRDefault="008B0995" w:rsidP="008B0995">
            <w:pPr>
              <w:pStyle w:val="TableParagraph"/>
              <w:ind w:left="209" w:right="283"/>
              <w:jc w:val="center"/>
              <w:rPr>
                <w:rFonts w:ascii="Minion Pro" w:eastAsia="Times New Roman" w:hAnsi="Minion Pro" w:cs="Times New Roman"/>
                <w:b/>
                <w:bCs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b/>
                <w:bCs/>
                <w:color w:val="111111"/>
                <w:sz w:val="18"/>
                <w:lang w:bidi="ar-SA"/>
              </w:rPr>
              <w:t>Statement</w:t>
            </w:r>
          </w:p>
        </w:tc>
      </w:tr>
      <w:tr w:rsidR="008B0995" w:rsidRPr="000A3BFC" w:rsidTr="008B0995">
        <w:trPr>
          <w:trHeight w:val="275"/>
          <w:tblHeader/>
          <w:jc w:val="center"/>
        </w:trPr>
        <w:tc>
          <w:tcPr>
            <w:tcW w:w="152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8B0995" w:rsidRPr="000A3BFC" w:rsidRDefault="008B0995" w:rsidP="008B0995">
            <w:pPr>
              <w:pStyle w:val="TableParagraph"/>
              <w:ind w:left="-23"/>
              <w:jc w:val="center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</w:p>
        </w:tc>
        <w:tc>
          <w:tcPr>
            <w:tcW w:w="754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8B0995" w:rsidRPr="000A3BFC" w:rsidRDefault="008B0995" w:rsidP="008B0995">
            <w:pPr>
              <w:pStyle w:val="TableParagraph"/>
              <w:ind w:left="209" w:right="283"/>
              <w:jc w:val="center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</w:p>
        </w:tc>
      </w:tr>
      <w:tr w:rsidR="008B0995" w:rsidRPr="000A3BFC" w:rsidTr="008B0995">
        <w:trPr>
          <w:trHeight w:val="20"/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210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1-CM</w:t>
            </w:r>
          </w:p>
        </w:tc>
        <w:tc>
          <w:tcPr>
            <w:tcW w:w="7547" w:type="dxa"/>
            <w:tcBorders>
              <w:top w:val="single" w:sz="4" w:space="0" w:color="auto"/>
            </w:tcBorders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42" w:right="37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 xml:space="preserve">Self-monitoring on achieving goals/ roles, especially in society </w:t>
            </w:r>
          </w:p>
        </w:tc>
      </w:tr>
      <w:tr w:rsidR="008B0995" w:rsidRPr="000A3BFC" w:rsidTr="008B0995">
        <w:trPr>
          <w:trHeight w:val="20"/>
          <w:jc w:val="center"/>
        </w:trPr>
        <w:tc>
          <w:tcPr>
            <w:tcW w:w="1525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210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2-CM</w:t>
            </w:r>
          </w:p>
        </w:tc>
        <w:tc>
          <w:tcPr>
            <w:tcW w:w="7547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42" w:right="37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Considering alternative strategies (include sharing information or hoax to overcome the problems before delivered to other.</w:t>
            </w:r>
          </w:p>
        </w:tc>
      </w:tr>
      <w:tr w:rsidR="008B0995" w:rsidRPr="000A3BFC" w:rsidTr="008B0995">
        <w:trPr>
          <w:trHeight w:val="20"/>
          <w:jc w:val="center"/>
        </w:trPr>
        <w:tc>
          <w:tcPr>
            <w:tcW w:w="1525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2"/>
              <w:ind w:left="210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3-PK</w:t>
            </w:r>
          </w:p>
        </w:tc>
        <w:tc>
          <w:tcPr>
            <w:tcW w:w="7547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42" w:right="37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Trying to apply effective previous strategies</w:t>
            </w:r>
          </w:p>
        </w:tc>
      </w:tr>
      <w:tr w:rsidR="008B0995" w:rsidRPr="000A3BFC" w:rsidTr="008B0995">
        <w:trPr>
          <w:trHeight w:val="20"/>
          <w:jc w:val="center"/>
        </w:trPr>
        <w:tc>
          <w:tcPr>
            <w:tcW w:w="1525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210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4-P</w:t>
            </w:r>
          </w:p>
        </w:tc>
        <w:tc>
          <w:tcPr>
            <w:tcW w:w="7547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42" w:right="37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 xml:space="preserve">Pacing self while </w:t>
            </w:r>
            <w:proofErr w:type="gramStart"/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learning</w:t>
            </w:r>
            <w:proofErr w:type="gramEnd"/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 xml:space="preserve"> disaster management to arrange time effectively.</w:t>
            </w:r>
          </w:p>
        </w:tc>
      </w:tr>
      <w:tr w:rsidR="008B0995" w:rsidRPr="000A3BFC" w:rsidTr="008B0995">
        <w:trPr>
          <w:trHeight w:val="20"/>
          <w:jc w:val="center"/>
        </w:trPr>
        <w:tc>
          <w:tcPr>
            <w:tcW w:w="1525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210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5-DK</w:t>
            </w:r>
          </w:p>
        </w:tc>
        <w:tc>
          <w:tcPr>
            <w:tcW w:w="7547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42" w:right="37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Understanding the intellectual strengths and weaknesses.</w:t>
            </w:r>
          </w:p>
        </w:tc>
      </w:tr>
      <w:tr w:rsidR="008B0995" w:rsidRPr="000A3BFC" w:rsidTr="008B0995">
        <w:trPr>
          <w:trHeight w:val="20"/>
          <w:jc w:val="center"/>
        </w:trPr>
        <w:tc>
          <w:tcPr>
            <w:tcW w:w="1525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210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6-P</w:t>
            </w:r>
          </w:p>
        </w:tc>
        <w:tc>
          <w:tcPr>
            <w:tcW w:w="7547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42" w:right="37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Thinking about what really needs to do before begin a task in disaster preparedness</w:t>
            </w:r>
          </w:p>
        </w:tc>
      </w:tr>
      <w:tr w:rsidR="008B0995" w:rsidRPr="000A3BFC" w:rsidTr="008B0995">
        <w:trPr>
          <w:trHeight w:val="20"/>
          <w:jc w:val="center"/>
        </w:trPr>
        <w:tc>
          <w:tcPr>
            <w:tcW w:w="1525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210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7-E</w:t>
            </w:r>
          </w:p>
        </w:tc>
        <w:tc>
          <w:tcPr>
            <w:tcW w:w="7547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42" w:right="37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Knowing what have done, tasks and weaknesses after disaster management program implementation</w:t>
            </w:r>
          </w:p>
        </w:tc>
      </w:tr>
      <w:tr w:rsidR="008B0995" w:rsidRPr="000A3BFC" w:rsidTr="008B0995">
        <w:trPr>
          <w:trHeight w:val="20"/>
          <w:jc w:val="center"/>
        </w:trPr>
        <w:tc>
          <w:tcPr>
            <w:tcW w:w="1525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210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8-P</w:t>
            </w:r>
          </w:p>
        </w:tc>
        <w:tc>
          <w:tcPr>
            <w:tcW w:w="7547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42" w:right="37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Setting specific goals before begin a disaster management implementation.</w:t>
            </w:r>
          </w:p>
        </w:tc>
      </w:tr>
      <w:tr w:rsidR="008B0995" w:rsidRPr="000A3BFC" w:rsidTr="008B0995">
        <w:trPr>
          <w:trHeight w:val="20"/>
          <w:jc w:val="center"/>
        </w:trPr>
        <w:tc>
          <w:tcPr>
            <w:tcW w:w="1525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210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9-IMS</w:t>
            </w:r>
          </w:p>
        </w:tc>
        <w:tc>
          <w:tcPr>
            <w:tcW w:w="7547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42" w:right="37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Slowing down when collecting important information.</w:t>
            </w:r>
          </w:p>
        </w:tc>
      </w:tr>
      <w:tr w:rsidR="008B0995" w:rsidRPr="000A3BFC" w:rsidTr="008B0995">
        <w:trPr>
          <w:trHeight w:val="20"/>
          <w:jc w:val="center"/>
        </w:trPr>
        <w:tc>
          <w:tcPr>
            <w:tcW w:w="1525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2"/>
              <w:ind w:left="210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10-DK</w:t>
            </w:r>
          </w:p>
        </w:tc>
        <w:tc>
          <w:tcPr>
            <w:tcW w:w="7547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42" w:right="37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Knowing what kind of information is most important to learn.</w:t>
            </w:r>
          </w:p>
        </w:tc>
      </w:tr>
      <w:tr w:rsidR="008B0995" w:rsidRPr="000A3BFC" w:rsidTr="008B0995">
        <w:trPr>
          <w:trHeight w:val="20"/>
          <w:jc w:val="center"/>
        </w:trPr>
        <w:tc>
          <w:tcPr>
            <w:tcW w:w="1525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210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11-CM</w:t>
            </w:r>
          </w:p>
        </w:tc>
        <w:tc>
          <w:tcPr>
            <w:tcW w:w="7547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42" w:right="37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Self-questioning about considering all options when solving a problem.</w:t>
            </w:r>
          </w:p>
        </w:tc>
      </w:tr>
      <w:tr w:rsidR="008B0995" w:rsidRPr="000A3BFC" w:rsidTr="008B0995">
        <w:trPr>
          <w:trHeight w:val="20"/>
          <w:jc w:val="center"/>
        </w:trPr>
        <w:tc>
          <w:tcPr>
            <w:tcW w:w="1525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210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12-DK</w:t>
            </w:r>
          </w:p>
        </w:tc>
        <w:tc>
          <w:tcPr>
            <w:tcW w:w="7547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42" w:right="37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Good at organizing information.</w:t>
            </w:r>
          </w:p>
        </w:tc>
      </w:tr>
      <w:tr w:rsidR="008B0995" w:rsidRPr="000A3BFC" w:rsidTr="008B0995">
        <w:trPr>
          <w:trHeight w:val="20"/>
          <w:jc w:val="center"/>
        </w:trPr>
        <w:tc>
          <w:tcPr>
            <w:tcW w:w="1525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210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13-IMS</w:t>
            </w:r>
          </w:p>
        </w:tc>
        <w:tc>
          <w:tcPr>
            <w:tcW w:w="7547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42" w:right="37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Consciously focusing attention on important information.</w:t>
            </w:r>
          </w:p>
        </w:tc>
      </w:tr>
      <w:tr w:rsidR="008B0995" w:rsidRPr="000A3BFC" w:rsidTr="008B0995">
        <w:trPr>
          <w:trHeight w:val="20"/>
          <w:jc w:val="center"/>
        </w:trPr>
        <w:tc>
          <w:tcPr>
            <w:tcW w:w="1525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210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14-PK</w:t>
            </w:r>
          </w:p>
        </w:tc>
        <w:tc>
          <w:tcPr>
            <w:tcW w:w="7547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42" w:right="37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Understanding and setting a specific purpose for each strategy that used to face hazard impact of disaster.</w:t>
            </w:r>
          </w:p>
        </w:tc>
      </w:tr>
      <w:tr w:rsidR="008B0995" w:rsidRPr="000A3BFC" w:rsidTr="008B0995">
        <w:trPr>
          <w:trHeight w:val="20"/>
          <w:jc w:val="center"/>
        </w:trPr>
        <w:tc>
          <w:tcPr>
            <w:tcW w:w="1525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210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15-CK</w:t>
            </w:r>
          </w:p>
        </w:tc>
        <w:tc>
          <w:tcPr>
            <w:tcW w:w="7547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42" w:right="37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Best learner especially in familiar topic.</w:t>
            </w:r>
          </w:p>
        </w:tc>
      </w:tr>
      <w:tr w:rsidR="008B0995" w:rsidRPr="000A3BFC" w:rsidTr="008B0995">
        <w:trPr>
          <w:trHeight w:val="20"/>
          <w:jc w:val="center"/>
        </w:trPr>
        <w:tc>
          <w:tcPr>
            <w:tcW w:w="1525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210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16-DK</w:t>
            </w:r>
          </w:p>
        </w:tc>
        <w:tc>
          <w:tcPr>
            <w:tcW w:w="7547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42" w:right="37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Knowing what the community expects to help.</w:t>
            </w:r>
          </w:p>
        </w:tc>
      </w:tr>
      <w:tr w:rsidR="008B0995" w:rsidRPr="000A3BFC" w:rsidTr="008B0995">
        <w:trPr>
          <w:trHeight w:val="20"/>
          <w:jc w:val="center"/>
        </w:trPr>
        <w:tc>
          <w:tcPr>
            <w:tcW w:w="1525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2"/>
              <w:ind w:left="210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17-DK</w:t>
            </w:r>
          </w:p>
        </w:tc>
        <w:tc>
          <w:tcPr>
            <w:tcW w:w="7547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42" w:right="37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Good at remembering disaster information (ex: forecasting report, disaster management strategy and plan).</w:t>
            </w:r>
          </w:p>
        </w:tc>
      </w:tr>
      <w:tr w:rsidR="008B0995" w:rsidRPr="000A3BFC" w:rsidTr="008B0995">
        <w:trPr>
          <w:trHeight w:val="20"/>
          <w:jc w:val="center"/>
        </w:trPr>
        <w:tc>
          <w:tcPr>
            <w:tcW w:w="1525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210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18-CK</w:t>
            </w:r>
          </w:p>
        </w:tc>
        <w:tc>
          <w:tcPr>
            <w:tcW w:w="7547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42" w:right="37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Using different action and strategies depending on the situation.</w:t>
            </w:r>
          </w:p>
        </w:tc>
      </w:tr>
      <w:tr w:rsidR="008B0995" w:rsidRPr="000A3BFC" w:rsidTr="008B0995">
        <w:trPr>
          <w:trHeight w:val="20"/>
          <w:jc w:val="center"/>
        </w:trPr>
        <w:tc>
          <w:tcPr>
            <w:tcW w:w="1525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210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19-E</w:t>
            </w:r>
          </w:p>
        </w:tc>
        <w:tc>
          <w:tcPr>
            <w:tcW w:w="7547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42" w:right="37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Self-questioning to find a lesson learn in term of discovery an easier way/ strategy/ problem-solving, to overcome problems regarding previous disaster.</w:t>
            </w:r>
          </w:p>
        </w:tc>
      </w:tr>
      <w:tr w:rsidR="008B0995" w:rsidRPr="000A3BFC" w:rsidTr="008B0995">
        <w:trPr>
          <w:trHeight w:val="20"/>
          <w:jc w:val="center"/>
        </w:trPr>
        <w:tc>
          <w:tcPr>
            <w:tcW w:w="1525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210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20-DK</w:t>
            </w:r>
          </w:p>
        </w:tc>
        <w:tc>
          <w:tcPr>
            <w:tcW w:w="7547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42" w:right="37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Able to control over how well in learning and taking action.</w:t>
            </w:r>
          </w:p>
        </w:tc>
      </w:tr>
      <w:tr w:rsidR="008B0995" w:rsidRPr="000A3BFC" w:rsidTr="008B0995">
        <w:trPr>
          <w:trHeight w:val="20"/>
          <w:jc w:val="center"/>
        </w:trPr>
        <w:tc>
          <w:tcPr>
            <w:tcW w:w="1525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210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21-CM</w:t>
            </w:r>
          </w:p>
        </w:tc>
        <w:tc>
          <w:tcPr>
            <w:tcW w:w="7547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42" w:right="37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Periodically reviewing to help understand important relationships in the way facing the disaster.</w:t>
            </w:r>
          </w:p>
        </w:tc>
      </w:tr>
      <w:tr w:rsidR="008B0995" w:rsidRPr="000A3BFC" w:rsidTr="008B0995">
        <w:trPr>
          <w:trHeight w:val="20"/>
          <w:jc w:val="center"/>
        </w:trPr>
        <w:tc>
          <w:tcPr>
            <w:tcW w:w="1525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210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22-P</w:t>
            </w:r>
          </w:p>
        </w:tc>
        <w:tc>
          <w:tcPr>
            <w:tcW w:w="7547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42" w:right="37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Frequently self-questioning about preparation of the needed material for disaster management.</w:t>
            </w:r>
          </w:p>
        </w:tc>
      </w:tr>
      <w:tr w:rsidR="008B0995" w:rsidRPr="000A3BFC" w:rsidTr="008B0995">
        <w:trPr>
          <w:trHeight w:val="20"/>
          <w:jc w:val="center"/>
        </w:trPr>
        <w:tc>
          <w:tcPr>
            <w:tcW w:w="1525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210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23-P</w:t>
            </w:r>
          </w:p>
        </w:tc>
        <w:tc>
          <w:tcPr>
            <w:tcW w:w="7547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42" w:right="37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Thinking of several ways to solve a problem and choose the best one in term of facing the flood disaster</w:t>
            </w:r>
          </w:p>
        </w:tc>
      </w:tr>
      <w:tr w:rsidR="008B0995" w:rsidRPr="000A3BFC" w:rsidTr="008B0995">
        <w:trPr>
          <w:trHeight w:val="20"/>
          <w:jc w:val="center"/>
        </w:trPr>
        <w:tc>
          <w:tcPr>
            <w:tcW w:w="1525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2"/>
              <w:ind w:left="210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24-E</w:t>
            </w:r>
          </w:p>
        </w:tc>
        <w:tc>
          <w:tcPr>
            <w:tcW w:w="7547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42" w:right="37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Summarizing what kind of action conducted after facing the disaster.</w:t>
            </w:r>
          </w:p>
        </w:tc>
      </w:tr>
      <w:tr w:rsidR="008B0995" w:rsidRPr="000A3BFC" w:rsidTr="008B0995">
        <w:trPr>
          <w:trHeight w:val="20"/>
          <w:jc w:val="center"/>
        </w:trPr>
        <w:tc>
          <w:tcPr>
            <w:tcW w:w="1525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2"/>
              <w:ind w:left="210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25-DS</w:t>
            </w:r>
          </w:p>
        </w:tc>
        <w:tc>
          <w:tcPr>
            <w:tcW w:w="7547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42" w:right="37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Asking others for help when facing problem in receiving information or conducting action during disaster management.</w:t>
            </w:r>
          </w:p>
        </w:tc>
      </w:tr>
      <w:tr w:rsidR="008B0995" w:rsidRPr="000A3BFC" w:rsidTr="008B0995">
        <w:trPr>
          <w:trHeight w:val="20"/>
          <w:jc w:val="center"/>
        </w:trPr>
        <w:tc>
          <w:tcPr>
            <w:tcW w:w="1525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2"/>
              <w:ind w:left="210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26-CK</w:t>
            </w:r>
          </w:p>
        </w:tc>
        <w:tc>
          <w:tcPr>
            <w:tcW w:w="7547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42" w:right="37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Able to conduct self-motivation to act when needed to</w:t>
            </w:r>
          </w:p>
        </w:tc>
      </w:tr>
      <w:tr w:rsidR="008B0995" w:rsidRPr="000A3BFC" w:rsidTr="008B0995">
        <w:trPr>
          <w:trHeight w:val="20"/>
          <w:jc w:val="center"/>
        </w:trPr>
        <w:tc>
          <w:tcPr>
            <w:tcW w:w="1525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2"/>
              <w:ind w:left="210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lastRenderedPageBreak/>
              <w:t>27-PK</w:t>
            </w:r>
          </w:p>
        </w:tc>
        <w:tc>
          <w:tcPr>
            <w:tcW w:w="7547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42" w:right="37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Aware about what used strategies when facing the problem in disaster management.</w:t>
            </w:r>
          </w:p>
        </w:tc>
      </w:tr>
      <w:tr w:rsidR="008B0995" w:rsidRPr="000A3BFC" w:rsidTr="008B0995">
        <w:trPr>
          <w:trHeight w:val="20"/>
          <w:jc w:val="center"/>
        </w:trPr>
        <w:tc>
          <w:tcPr>
            <w:tcW w:w="1525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2"/>
              <w:ind w:left="210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28-CM</w:t>
            </w:r>
          </w:p>
        </w:tc>
        <w:tc>
          <w:tcPr>
            <w:tcW w:w="7547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42" w:right="37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Analyzing the usefulness of strategies for facing the flood disaster (whenever the disaster comes).</w:t>
            </w:r>
          </w:p>
        </w:tc>
      </w:tr>
      <w:tr w:rsidR="008B0995" w:rsidRPr="000A3BFC" w:rsidTr="008B0995">
        <w:trPr>
          <w:trHeight w:val="20"/>
          <w:jc w:val="center"/>
        </w:trPr>
        <w:tc>
          <w:tcPr>
            <w:tcW w:w="1525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2"/>
              <w:ind w:left="210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29-CK</w:t>
            </w:r>
          </w:p>
        </w:tc>
        <w:tc>
          <w:tcPr>
            <w:tcW w:w="7547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42" w:right="37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Using intellectual strengths to compensate weaknesses.</w:t>
            </w:r>
          </w:p>
        </w:tc>
      </w:tr>
      <w:tr w:rsidR="008B0995" w:rsidRPr="000A3BFC" w:rsidTr="008B0995">
        <w:trPr>
          <w:trHeight w:val="20"/>
          <w:jc w:val="center"/>
        </w:trPr>
        <w:tc>
          <w:tcPr>
            <w:tcW w:w="1525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2"/>
              <w:ind w:left="210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30-IMS</w:t>
            </w:r>
          </w:p>
        </w:tc>
        <w:tc>
          <w:tcPr>
            <w:tcW w:w="7547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42" w:right="37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Focusing on the meaning and significance of new information.</w:t>
            </w:r>
          </w:p>
        </w:tc>
      </w:tr>
      <w:tr w:rsidR="008B0995" w:rsidRPr="000A3BFC" w:rsidTr="008B0995">
        <w:trPr>
          <w:trHeight w:val="20"/>
          <w:jc w:val="center"/>
        </w:trPr>
        <w:tc>
          <w:tcPr>
            <w:tcW w:w="1525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2"/>
              <w:ind w:left="210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31-IMS</w:t>
            </w:r>
          </w:p>
        </w:tc>
        <w:tc>
          <w:tcPr>
            <w:tcW w:w="7547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42" w:right="37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Creating own analogies to make information more meaningful.</w:t>
            </w:r>
          </w:p>
        </w:tc>
      </w:tr>
      <w:tr w:rsidR="008B0995" w:rsidRPr="000A3BFC" w:rsidTr="008B0995">
        <w:trPr>
          <w:trHeight w:val="20"/>
          <w:jc w:val="center"/>
        </w:trPr>
        <w:tc>
          <w:tcPr>
            <w:tcW w:w="1525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2"/>
              <w:ind w:left="210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32-DK</w:t>
            </w:r>
          </w:p>
        </w:tc>
        <w:tc>
          <w:tcPr>
            <w:tcW w:w="7547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42" w:right="37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Assuming as a good judge of how well the understanding of matter is built up.</w:t>
            </w:r>
          </w:p>
        </w:tc>
      </w:tr>
      <w:tr w:rsidR="008B0995" w:rsidRPr="000A3BFC" w:rsidTr="008B0995">
        <w:trPr>
          <w:trHeight w:val="20"/>
          <w:jc w:val="center"/>
        </w:trPr>
        <w:tc>
          <w:tcPr>
            <w:tcW w:w="1525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2"/>
              <w:ind w:left="210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33-PK</w:t>
            </w:r>
          </w:p>
        </w:tc>
        <w:tc>
          <w:tcPr>
            <w:tcW w:w="7547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42" w:right="37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Using helpful strategies automatically.</w:t>
            </w:r>
          </w:p>
        </w:tc>
      </w:tr>
      <w:tr w:rsidR="008B0995" w:rsidRPr="000A3BFC" w:rsidTr="008B0995">
        <w:trPr>
          <w:trHeight w:val="20"/>
          <w:jc w:val="center"/>
        </w:trPr>
        <w:tc>
          <w:tcPr>
            <w:tcW w:w="1525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2"/>
              <w:ind w:left="210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34-CM</w:t>
            </w:r>
          </w:p>
        </w:tc>
        <w:tc>
          <w:tcPr>
            <w:tcW w:w="7547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42" w:right="37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Pausing regularly to check self-comprehension in term of the role in disaster management.</w:t>
            </w:r>
          </w:p>
        </w:tc>
      </w:tr>
      <w:tr w:rsidR="008B0995" w:rsidRPr="000A3BFC" w:rsidTr="008B0995">
        <w:trPr>
          <w:trHeight w:val="20"/>
          <w:jc w:val="center"/>
        </w:trPr>
        <w:tc>
          <w:tcPr>
            <w:tcW w:w="1525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2"/>
              <w:ind w:left="210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35-CK</w:t>
            </w:r>
          </w:p>
        </w:tc>
        <w:tc>
          <w:tcPr>
            <w:tcW w:w="7547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42" w:right="37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Knowing when each strategy they use will be most effective.</w:t>
            </w:r>
          </w:p>
        </w:tc>
      </w:tr>
      <w:tr w:rsidR="008B0995" w:rsidRPr="000A3BFC" w:rsidTr="008B0995">
        <w:trPr>
          <w:trHeight w:val="20"/>
          <w:jc w:val="center"/>
        </w:trPr>
        <w:tc>
          <w:tcPr>
            <w:tcW w:w="1525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2"/>
              <w:ind w:left="210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36-E</w:t>
            </w:r>
          </w:p>
        </w:tc>
        <w:tc>
          <w:tcPr>
            <w:tcW w:w="7547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42" w:right="37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Self-questioning about how well they accomplish the goals once they finished (evaluating their output in disaster management implementation).</w:t>
            </w:r>
          </w:p>
        </w:tc>
      </w:tr>
      <w:tr w:rsidR="008B0995" w:rsidRPr="000A3BFC" w:rsidTr="008B0995">
        <w:trPr>
          <w:trHeight w:val="20"/>
          <w:jc w:val="center"/>
        </w:trPr>
        <w:tc>
          <w:tcPr>
            <w:tcW w:w="1525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2"/>
              <w:ind w:left="210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37-IMS</w:t>
            </w:r>
          </w:p>
        </w:tc>
        <w:tc>
          <w:tcPr>
            <w:tcW w:w="7547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42" w:right="37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Drawing pictures or diagrams to help understand while acting.</w:t>
            </w:r>
          </w:p>
        </w:tc>
      </w:tr>
      <w:tr w:rsidR="008B0995" w:rsidRPr="000A3BFC" w:rsidTr="008B0995">
        <w:trPr>
          <w:trHeight w:val="20"/>
          <w:jc w:val="center"/>
        </w:trPr>
        <w:tc>
          <w:tcPr>
            <w:tcW w:w="1525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2"/>
              <w:ind w:left="210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38-E</w:t>
            </w:r>
          </w:p>
        </w:tc>
        <w:tc>
          <w:tcPr>
            <w:tcW w:w="7547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42" w:right="37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Self-questioning if they considered all options after they solve a problem.</w:t>
            </w:r>
          </w:p>
        </w:tc>
      </w:tr>
      <w:tr w:rsidR="008B0995" w:rsidRPr="000A3BFC" w:rsidTr="008B0995">
        <w:trPr>
          <w:trHeight w:val="20"/>
          <w:jc w:val="center"/>
        </w:trPr>
        <w:tc>
          <w:tcPr>
            <w:tcW w:w="1525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2"/>
              <w:ind w:left="210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39-IMS</w:t>
            </w:r>
          </w:p>
        </w:tc>
        <w:tc>
          <w:tcPr>
            <w:tcW w:w="7547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42" w:right="37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Trying to translate new information into own words.</w:t>
            </w:r>
          </w:p>
        </w:tc>
      </w:tr>
      <w:tr w:rsidR="008B0995" w:rsidRPr="000A3BFC" w:rsidTr="008B0995">
        <w:trPr>
          <w:trHeight w:val="20"/>
          <w:jc w:val="center"/>
        </w:trPr>
        <w:tc>
          <w:tcPr>
            <w:tcW w:w="1525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2"/>
              <w:ind w:left="210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40-DS</w:t>
            </w:r>
          </w:p>
        </w:tc>
        <w:tc>
          <w:tcPr>
            <w:tcW w:w="7547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42" w:right="37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Changing the strategies when fail to understand.</w:t>
            </w:r>
          </w:p>
        </w:tc>
      </w:tr>
      <w:tr w:rsidR="008B0995" w:rsidRPr="000A3BFC" w:rsidTr="008B0995">
        <w:trPr>
          <w:trHeight w:val="20"/>
          <w:jc w:val="center"/>
        </w:trPr>
        <w:tc>
          <w:tcPr>
            <w:tcW w:w="1525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2"/>
              <w:ind w:left="210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41-IMS</w:t>
            </w:r>
          </w:p>
        </w:tc>
        <w:tc>
          <w:tcPr>
            <w:tcW w:w="7547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42" w:right="37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Using the organizational structure of the instruction to help action more effective.</w:t>
            </w:r>
          </w:p>
        </w:tc>
      </w:tr>
      <w:tr w:rsidR="008B0995" w:rsidRPr="000A3BFC" w:rsidTr="008B0995">
        <w:trPr>
          <w:trHeight w:val="20"/>
          <w:jc w:val="center"/>
        </w:trPr>
        <w:tc>
          <w:tcPr>
            <w:tcW w:w="1525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2"/>
              <w:ind w:left="210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42-P</w:t>
            </w:r>
          </w:p>
        </w:tc>
        <w:tc>
          <w:tcPr>
            <w:tcW w:w="7547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42" w:right="37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Reading instructions carefully before begin the actions.</w:t>
            </w:r>
          </w:p>
        </w:tc>
      </w:tr>
      <w:tr w:rsidR="008B0995" w:rsidRPr="000A3BFC" w:rsidTr="008B0995">
        <w:trPr>
          <w:trHeight w:val="20"/>
          <w:jc w:val="center"/>
        </w:trPr>
        <w:tc>
          <w:tcPr>
            <w:tcW w:w="1525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2"/>
              <w:ind w:left="210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43-IMS</w:t>
            </w:r>
          </w:p>
        </w:tc>
        <w:tc>
          <w:tcPr>
            <w:tcW w:w="7547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42" w:right="37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Self-questioning if whether the current information is related to what already know.</w:t>
            </w:r>
          </w:p>
        </w:tc>
      </w:tr>
      <w:tr w:rsidR="008B0995" w:rsidRPr="000A3BFC" w:rsidTr="008B0995">
        <w:trPr>
          <w:trHeight w:val="20"/>
          <w:jc w:val="center"/>
        </w:trPr>
        <w:tc>
          <w:tcPr>
            <w:tcW w:w="1525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2"/>
              <w:ind w:left="210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44-DS</w:t>
            </w:r>
          </w:p>
        </w:tc>
        <w:tc>
          <w:tcPr>
            <w:tcW w:w="7547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42" w:right="37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Reevaluating personal assumptions when get confused of the responsibility.</w:t>
            </w:r>
          </w:p>
        </w:tc>
      </w:tr>
      <w:tr w:rsidR="008B0995" w:rsidRPr="000A3BFC" w:rsidTr="008B0995">
        <w:trPr>
          <w:trHeight w:val="20"/>
          <w:jc w:val="center"/>
        </w:trPr>
        <w:tc>
          <w:tcPr>
            <w:tcW w:w="1525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2"/>
              <w:ind w:left="210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45-P</w:t>
            </w:r>
          </w:p>
        </w:tc>
        <w:tc>
          <w:tcPr>
            <w:tcW w:w="7547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42" w:right="37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Organizing the time to best accomplish the goals.</w:t>
            </w:r>
          </w:p>
        </w:tc>
      </w:tr>
      <w:tr w:rsidR="008B0995" w:rsidRPr="000A3BFC" w:rsidTr="008B0995">
        <w:trPr>
          <w:trHeight w:val="20"/>
          <w:jc w:val="center"/>
        </w:trPr>
        <w:tc>
          <w:tcPr>
            <w:tcW w:w="1525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2"/>
              <w:ind w:left="210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46-DK</w:t>
            </w:r>
          </w:p>
        </w:tc>
        <w:tc>
          <w:tcPr>
            <w:tcW w:w="7547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42" w:right="37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Do (learning, action, caring other) more when feeling responsible on the duty.</w:t>
            </w:r>
          </w:p>
        </w:tc>
      </w:tr>
      <w:tr w:rsidR="008B0995" w:rsidRPr="000A3BFC" w:rsidTr="008B0995">
        <w:trPr>
          <w:trHeight w:val="20"/>
          <w:jc w:val="center"/>
        </w:trPr>
        <w:tc>
          <w:tcPr>
            <w:tcW w:w="1525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2"/>
              <w:ind w:left="210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47-IMS</w:t>
            </w:r>
          </w:p>
        </w:tc>
        <w:tc>
          <w:tcPr>
            <w:tcW w:w="7547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42" w:right="37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Trying to break action strategy down into smaller steps.</w:t>
            </w:r>
          </w:p>
        </w:tc>
      </w:tr>
      <w:tr w:rsidR="008B0995" w:rsidRPr="000A3BFC" w:rsidTr="008B0995">
        <w:trPr>
          <w:trHeight w:val="20"/>
          <w:jc w:val="center"/>
        </w:trPr>
        <w:tc>
          <w:tcPr>
            <w:tcW w:w="1525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2"/>
              <w:ind w:left="210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48-IMS</w:t>
            </w:r>
          </w:p>
        </w:tc>
        <w:tc>
          <w:tcPr>
            <w:tcW w:w="7547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42" w:right="37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Focusing on overall meaning rather than specifics.</w:t>
            </w:r>
          </w:p>
        </w:tc>
      </w:tr>
      <w:tr w:rsidR="008B0995" w:rsidRPr="000A3BFC" w:rsidTr="008B0995">
        <w:trPr>
          <w:trHeight w:val="20"/>
          <w:jc w:val="center"/>
        </w:trPr>
        <w:tc>
          <w:tcPr>
            <w:tcW w:w="1525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2"/>
              <w:ind w:left="210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49-CM</w:t>
            </w:r>
          </w:p>
        </w:tc>
        <w:tc>
          <w:tcPr>
            <w:tcW w:w="7547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42" w:right="37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Self-questioning about how well the action conducted while learning something new.</w:t>
            </w:r>
          </w:p>
        </w:tc>
      </w:tr>
      <w:tr w:rsidR="008B0995" w:rsidRPr="000A3BFC" w:rsidTr="008B0995">
        <w:trPr>
          <w:trHeight w:val="20"/>
          <w:jc w:val="center"/>
        </w:trPr>
        <w:tc>
          <w:tcPr>
            <w:tcW w:w="1525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2"/>
              <w:ind w:left="210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50-E</w:t>
            </w:r>
          </w:p>
        </w:tc>
        <w:tc>
          <w:tcPr>
            <w:tcW w:w="7547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42" w:right="37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Self-questioning if trying the best as much as they could have once they finish their responsibility.</w:t>
            </w:r>
          </w:p>
        </w:tc>
      </w:tr>
      <w:tr w:rsidR="008B0995" w:rsidRPr="000A3BFC" w:rsidTr="008B0995">
        <w:trPr>
          <w:trHeight w:val="20"/>
          <w:jc w:val="center"/>
        </w:trPr>
        <w:tc>
          <w:tcPr>
            <w:tcW w:w="1525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2"/>
              <w:ind w:left="210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51-DS</w:t>
            </w:r>
          </w:p>
        </w:tc>
        <w:tc>
          <w:tcPr>
            <w:tcW w:w="7547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42" w:right="37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Stopping and going back over new task/ responsibility/ information that is not clear.</w:t>
            </w:r>
          </w:p>
        </w:tc>
      </w:tr>
      <w:tr w:rsidR="008B0995" w:rsidRPr="000A3BFC" w:rsidTr="008B0995">
        <w:trPr>
          <w:trHeight w:val="20"/>
          <w:jc w:val="center"/>
        </w:trPr>
        <w:tc>
          <w:tcPr>
            <w:tcW w:w="1525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2"/>
              <w:ind w:left="210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52-DS</w:t>
            </w:r>
          </w:p>
        </w:tc>
        <w:tc>
          <w:tcPr>
            <w:tcW w:w="7547" w:type="dxa"/>
          </w:tcPr>
          <w:p w:rsidR="008B0995" w:rsidRPr="000A3BFC" w:rsidRDefault="008B0995" w:rsidP="008B0995">
            <w:pPr>
              <w:pStyle w:val="TableParagraph"/>
              <w:tabs>
                <w:tab w:val="left" w:pos="880"/>
              </w:tabs>
              <w:spacing w:before="60"/>
              <w:ind w:left="42" w:right="37"/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</w:pPr>
            <w:r w:rsidRPr="000A3BFC">
              <w:rPr>
                <w:rFonts w:ascii="Minion Pro" w:eastAsia="Times New Roman" w:hAnsi="Minion Pro" w:cs="Times New Roman"/>
                <w:color w:val="111111"/>
                <w:sz w:val="18"/>
                <w:lang w:bidi="ar-SA"/>
              </w:rPr>
              <w:t>Stopping and reread when get confused about responsibility.</w:t>
            </w:r>
          </w:p>
        </w:tc>
      </w:tr>
    </w:tbl>
    <w:p w:rsidR="008B0995" w:rsidRPr="009562FB" w:rsidRDefault="008B0995" w:rsidP="008B0995">
      <w:pPr>
        <w:ind w:left="709" w:hanging="709"/>
        <w:jc w:val="both"/>
        <w:rPr>
          <w:rFonts w:ascii="Minion Pro" w:hAnsi="Minion Pro"/>
          <w:color w:val="111111"/>
          <w:sz w:val="20"/>
          <w:szCs w:val="20"/>
        </w:rPr>
      </w:pPr>
      <w:r w:rsidRPr="009562FB">
        <w:rPr>
          <w:rFonts w:ascii="Minion Pro" w:hAnsi="Minion Pro"/>
          <w:color w:val="111111"/>
          <w:sz w:val="20"/>
          <w:szCs w:val="20"/>
        </w:rPr>
        <w:t>Note:</w:t>
      </w:r>
      <w:r w:rsidRPr="009562FB">
        <w:rPr>
          <w:rFonts w:ascii="Minion Pro" w:hAnsi="Minion Pro"/>
          <w:color w:val="111111"/>
          <w:sz w:val="20"/>
          <w:szCs w:val="20"/>
        </w:rPr>
        <w:tab/>
        <w:t xml:space="preserve">The code and number of MAI statement represents the sequence of statements in the questionnaire. Source: modification from </w:t>
      </w:r>
      <w:r w:rsidRPr="009562FB">
        <w:rPr>
          <w:rFonts w:ascii="Minion Pro" w:hAnsi="Minion Pro"/>
          <w:color w:val="111111"/>
          <w:sz w:val="20"/>
          <w:szCs w:val="20"/>
        </w:rPr>
        <w:fldChar w:fldCharType="begin" w:fldLock="1"/>
      </w:r>
      <w:r w:rsidRPr="009562FB">
        <w:rPr>
          <w:rFonts w:ascii="Minion Pro" w:hAnsi="Minion Pro"/>
          <w:color w:val="111111"/>
          <w:sz w:val="20"/>
          <w:szCs w:val="20"/>
        </w:rPr>
        <w:instrText>ADDIN CSL_CITATION {"citationItems":[{"id":"ITEM-1","itemData":{"DOI":"10.1006/ceps.1994.1033","ISSN":"10902384","abstract":"We constructed a 52-item inventory to measure adults′ metacognitive awareness. Items were classified into eight subcomponents subsumed under two broader categories, knowledge of cognition and regulation of cognition. Two experiments supported the two-factor model. Factors were reliable (i.e., α =.90) and inter-correlated (r =.54). Experiment 2 reported the knowledge of cognition factor was related to pre-test judgments of monitoring ability and performance on a reading comprehension test, but was unrelated to monitoring accuracy. Implications for educational assessment and future research were discussed. © 1994 Academic Press, Inc.","author":[{"dropping-particle":"","family":"Schraw","given":"Gregory","non-dropping-particle":"","parse-names":false,"suffix":""},{"dropping-particle":"","family":"Dennison","given":"Rayne Sperling","non-dropping-particle":"","parse-names":false,"suffix":""}],"container-title":"Contemporary Educational Psychology","id":"ITEM-1","issue":"4","issued":{"date-parts":[["1994"]]},"page":"460-475","title":"Assessing metacognitive awareness","type":"article","volume":"19"},"uris":["http://www.mendeley.com/documents/?uuid=ce921f29-51af-427d-bcf2-c7766d6c3f78"]}],"mendeley":{"formattedCitation":"(Schraw &amp; Dennison, 1994)","manualFormatting":"Schraw &amp; Dennison (1994)","plainTextFormattedCitation":"(Schraw &amp; Dennison, 1994)","previouslyFormattedCitation":"(Schraw &amp; Dennison, 1994)"},"properties":{"noteIndex":0},"schema":"https://github.com/citation-style-language/schema/raw/master/csl-citation.json"}</w:instrText>
      </w:r>
      <w:r w:rsidRPr="009562FB">
        <w:rPr>
          <w:rFonts w:ascii="Minion Pro" w:hAnsi="Minion Pro"/>
          <w:color w:val="111111"/>
          <w:sz w:val="20"/>
          <w:szCs w:val="20"/>
        </w:rPr>
        <w:fldChar w:fldCharType="separate"/>
      </w:r>
      <w:r w:rsidRPr="009562FB">
        <w:rPr>
          <w:rFonts w:ascii="Minion Pro" w:hAnsi="Minion Pro"/>
          <w:noProof/>
          <w:color w:val="111111"/>
          <w:sz w:val="20"/>
          <w:szCs w:val="20"/>
        </w:rPr>
        <w:t>Schraw &amp; Dennison (1994)</w:t>
      </w:r>
      <w:r w:rsidRPr="009562FB">
        <w:rPr>
          <w:rFonts w:ascii="Minion Pro" w:hAnsi="Minion Pro"/>
          <w:color w:val="111111"/>
          <w:sz w:val="20"/>
          <w:szCs w:val="20"/>
        </w:rPr>
        <w:fldChar w:fldCharType="end"/>
      </w:r>
      <w:r w:rsidRPr="009562FB">
        <w:rPr>
          <w:rFonts w:ascii="Minion Pro" w:hAnsi="Minion Pro"/>
          <w:color w:val="111111"/>
          <w:sz w:val="20"/>
          <w:szCs w:val="20"/>
        </w:rPr>
        <w:t>.</w:t>
      </w:r>
    </w:p>
    <w:p w:rsidR="008B0995" w:rsidRDefault="008B0995">
      <w:pPr>
        <w:rPr>
          <w:sz w:val="18"/>
          <w:szCs w:val="18"/>
        </w:rPr>
      </w:pPr>
    </w:p>
    <w:p w:rsidR="008B0995" w:rsidRPr="00F72799" w:rsidRDefault="008B0995">
      <w:pPr>
        <w:rPr>
          <w:sz w:val="18"/>
          <w:szCs w:val="18"/>
        </w:rPr>
      </w:pPr>
    </w:p>
    <w:sectPr w:rsidR="008B0995" w:rsidRPr="00F72799" w:rsidSect="00F72799">
      <w:pgSz w:w="15840" w:h="12240" w:orient="landscape"/>
      <w:pgMar w:top="1440" w:right="24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13350"/>
    <w:multiLevelType w:val="hybridMultilevel"/>
    <w:tmpl w:val="DC843EF2"/>
    <w:lvl w:ilvl="0" w:tplc="23D6301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yMjK0NDExNTQzNjdV0lEKTi0uzszPAykwqgUAH8NNDiwAAAA="/>
  </w:docVars>
  <w:rsids>
    <w:rsidRoot w:val="00F72799"/>
    <w:rsid w:val="0002290B"/>
    <w:rsid w:val="002152B2"/>
    <w:rsid w:val="008B0995"/>
    <w:rsid w:val="00F7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51CDB-1887-40BF-9F94-EA7CDCDE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99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79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7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B0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B0995"/>
    <w:pPr>
      <w:spacing w:line="240" w:lineRule="auto"/>
    </w:pPr>
    <w:rPr>
      <w:rFonts w:cs="Times New Roman"/>
      <w:i/>
      <w:iCs/>
      <w:color w:val="44546A"/>
      <w:sz w:val="18"/>
      <w:szCs w:val="18"/>
      <w:lang w:val="id-ID"/>
    </w:rPr>
  </w:style>
  <w:style w:type="paragraph" w:customStyle="1" w:styleId="TableParagraph">
    <w:name w:val="Table Paragraph"/>
    <w:basedOn w:val="Normal"/>
    <w:uiPriority w:val="1"/>
    <w:qFormat/>
    <w:rsid w:val="008B0995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2020-07-14T17:43:00Z</dcterms:created>
  <dcterms:modified xsi:type="dcterms:W3CDTF">2020-07-14T23:47:00Z</dcterms:modified>
</cp:coreProperties>
</file>