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1CA0F" w14:textId="77777777" w:rsidR="00622A0C" w:rsidRDefault="003461B6" w:rsidP="00500DB8">
      <w:pPr>
        <w:pStyle w:val="HEADINGS"/>
        <w:spacing w:line="240" w:lineRule="auto"/>
        <w:jc w:val="both"/>
        <w:rPr>
          <w:rFonts w:ascii="Lato" w:hAnsi="Lato" w:cs="Open Sans"/>
          <w:b/>
          <w:sz w:val="28"/>
          <w:szCs w:val="28"/>
        </w:rPr>
      </w:pPr>
      <w:r w:rsidRPr="00FB6260">
        <w:rPr>
          <w:rFonts w:ascii="Lato" w:hAnsi="Lato" w:cs="Open Sans"/>
          <w:b/>
          <w:bCs/>
          <w:color w:val="1F4E79" w:themeColor="accent5" w:themeShade="80"/>
          <w:sz w:val="28"/>
          <w:szCs w:val="28"/>
          <w:lang w:val="en-US"/>
        </w:rPr>
        <w:t>Sijori-GT Economic Cooperation for Three Decades: Examining Malaysia’s and Singapore’s FDI Commitments to Riau Islands</w:t>
      </w:r>
    </w:p>
    <w:p w14:paraId="65F17D9C" w14:textId="77777777" w:rsidR="0051496B" w:rsidRPr="00500DB8" w:rsidRDefault="0051496B" w:rsidP="00500DB8">
      <w:pPr>
        <w:pStyle w:val="HEADINGS"/>
        <w:spacing w:line="240" w:lineRule="auto"/>
        <w:jc w:val="both"/>
        <w:rPr>
          <w:rFonts w:ascii="Lato" w:hAnsi="Lato" w:cs="Open Sans"/>
          <w:b/>
          <w:sz w:val="28"/>
          <w:szCs w:val="28"/>
        </w:rPr>
      </w:pPr>
    </w:p>
    <w:p w14:paraId="7C6CB38B" w14:textId="77777777" w:rsidR="00077725" w:rsidRPr="00077725" w:rsidRDefault="003461B6" w:rsidP="00077725">
      <w:pPr>
        <w:pStyle w:val="HEADINGS"/>
        <w:spacing w:line="240" w:lineRule="auto"/>
        <w:contextualSpacing/>
        <w:rPr>
          <w:rFonts w:ascii="Lato" w:hAnsi="Lato" w:cs="Open Sans"/>
          <w:b/>
          <w:bCs/>
          <w:lang w:val="en-US"/>
        </w:rPr>
        <w:sectPr w:rsidR="00077725" w:rsidRPr="00077725" w:rsidSect="00622A0C">
          <w:headerReference w:type="even" r:id="rId9"/>
          <w:headerReference w:type="default" r:id="rId10"/>
          <w:footerReference w:type="even" r:id="rId11"/>
          <w:headerReference w:type="first" r:id="rId12"/>
          <w:footerReference w:type="first" r:id="rId13"/>
          <w:type w:val="continuous"/>
          <w:pgSz w:w="11900" w:h="16840"/>
          <w:pgMar w:top="1440" w:right="1440" w:bottom="1440" w:left="1440" w:header="706" w:footer="706" w:gutter="0"/>
          <w:pgNumType w:start="57"/>
          <w:cols w:space="720"/>
          <w:titlePg/>
          <w:docGrid w:linePitch="299"/>
        </w:sectPr>
      </w:pPr>
      <w:r>
        <w:rPr>
          <w:rFonts w:ascii="Lato" w:eastAsia="Cambria" w:hAnsi="Lato" w:cs="Cambria"/>
          <w:b/>
          <w:bCs/>
        </w:rPr>
        <w:t>La Ode Nazaruddin</w:t>
      </w:r>
      <w:r>
        <w:rPr>
          <w:rStyle w:val="FootnoteReference"/>
          <w:rFonts w:ascii="Lato" w:eastAsia="Cambria" w:hAnsi="Lato" w:cs="Cambria"/>
          <w:b/>
          <w:bCs/>
        </w:rPr>
        <w:footnoteReference w:customMarkFollows="1" w:id="1"/>
        <w:t>*</w:t>
      </w:r>
    </w:p>
    <w:p w14:paraId="7130CE95" w14:textId="77777777" w:rsidR="0051496B" w:rsidRDefault="003461B6" w:rsidP="00C86B8B">
      <w:pPr>
        <w:pStyle w:val="Heading1"/>
        <w:tabs>
          <w:tab w:val="center" w:pos="4510"/>
        </w:tabs>
        <w:spacing w:before="0" w:beforeAutospacing="0" w:after="0" w:afterAutospacing="0"/>
        <w:contextualSpacing/>
        <w:rPr>
          <w:rFonts w:ascii="Lato" w:hAnsi="Lato" w:cs="Open Sans"/>
          <w:b w:val="0"/>
          <w:bCs w:val="0"/>
          <w:i/>
          <w:sz w:val="22"/>
          <w:szCs w:val="22"/>
          <w:lang w:val="en-GB"/>
        </w:rPr>
      </w:pPr>
      <w:r>
        <w:rPr>
          <w:rFonts w:ascii="Lato" w:hAnsi="Lato" w:cs="Open Sans"/>
          <w:b w:val="0"/>
          <w:bCs w:val="0"/>
          <w:i/>
          <w:sz w:val="22"/>
          <w:szCs w:val="22"/>
          <w:lang w:val="en-GB"/>
        </w:rPr>
        <w:t>Ministry of Industry, Indonesia</w:t>
      </w:r>
      <w:r w:rsidR="00C86B8B">
        <w:rPr>
          <w:rFonts w:ascii="Lato" w:hAnsi="Lato" w:cs="Open Sans"/>
          <w:b w:val="0"/>
          <w:bCs w:val="0"/>
          <w:i/>
          <w:sz w:val="22"/>
          <w:szCs w:val="22"/>
          <w:lang w:val="en-GB"/>
        </w:rPr>
        <w:tab/>
      </w:r>
    </w:p>
    <w:p w14:paraId="78722A54" w14:textId="77777777" w:rsidR="00FB6260" w:rsidRDefault="00FB6260" w:rsidP="00262CEF">
      <w:pPr>
        <w:pStyle w:val="Heading1"/>
        <w:tabs>
          <w:tab w:val="left" w:pos="8500"/>
        </w:tabs>
        <w:spacing w:before="0" w:beforeAutospacing="0" w:after="0" w:afterAutospacing="0"/>
        <w:contextualSpacing/>
        <w:rPr>
          <w:rFonts w:ascii="Lato" w:hAnsi="Lato" w:cs="Open Sans"/>
          <w:b w:val="0"/>
          <w:bCs w:val="0"/>
          <w:i/>
          <w:sz w:val="22"/>
          <w:szCs w:val="22"/>
          <w:lang w:val="en-GB"/>
        </w:rPr>
      </w:pPr>
    </w:p>
    <w:p w14:paraId="4ECED0A0" w14:textId="77777777" w:rsidR="00FB6260" w:rsidRPr="00FB6260" w:rsidRDefault="003461B6" w:rsidP="00262CEF">
      <w:pPr>
        <w:pStyle w:val="Heading1"/>
        <w:tabs>
          <w:tab w:val="left" w:pos="8500"/>
        </w:tabs>
        <w:spacing w:before="0" w:beforeAutospacing="0" w:after="0" w:afterAutospacing="0"/>
        <w:contextualSpacing/>
        <w:rPr>
          <w:rFonts w:ascii="Lato" w:hAnsi="Lato" w:cs="Open Sans"/>
          <w:bCs w:val="0"/>
          <w:sz w:val="24"/>
          <w:szCs w:val="24"/>
          <w:lang w:val="en-GB"/>
        </w:rPr>
      </w:pPr>
      <w:r w:rsidRPr="00FB6260">
        <w:rPr>
          <w:rFonts w:ascii="Lato" w:hAnsi="Lato" w:cs="Open Sans"/>
          <w:bCs w:val="0"/>
          <w:sz w:val="24"/>
          <w:szCs w:val="24"/>
          <w:lang w:val="en-GB"/>
        </w:rPr>
        <w:t>Qisthina Aulia</w:t>
      </w:r>
    </w:p>
    <w:p w14:paraId="6F266A8E" w14:textId="77777777" w:rsidR="00FB6260" w:rsidRPr="00FB6260" w:rsidRDefault="003461B6" w:rsidP="00262CEF">
      <w:pPr>
        <w:pStyle w:val="Heading1"/>
        <w:tabs>
          <w:tab w:val="left" w:pos="8500"/>
        </w:tabs>
        <w:spacing w:before="0" w:beforeAutospacing="0" w:after="0" w:afterAutospacing="0"/>
        <w:contextualSpacing/>
        <w:rPr>
          <w:rFonts w:ascii="Lato" w:hAnsi="Lato" w:cs="Open Sans"/>
          <w:b w:val="0"/>
          <w:bCs w:val="0"/>
          <w:i/>
          <w:sz w:val="22"/>
          <w:szCs w:val="22"/>
          <w:lang w:val="en-GB"/>
        </w:rPr>
      </w:pPr>
      <w:r w:rsidRPr="00FB6260">
        <w:rPr>
          <w:rFonts w:ascii="Lato" w:hAnsi="Lato" w:cs="Open Sans"/>
          <w:b w:val="0"/>
          <w:bCs w:val="0"/>
          <w:i/>
          <w:sz w:val="22"/>
          <w:szCs w:val="22"/>
          <w:lang w:val="en-GB"/>
        </w:rPr>
        <w:t>Polytechnic of Correctional Science at Ministry of Law and Human Rights</w:t>
      </w:r>
      <w:r>
        <w:rPr>
          <w:rFonts w:ascii="Lato" w:hAnsi="Lato" w:cs="Open Sans"/>
          <w:b w:val="0"/>
          <w:bCs w:val="0"/>
          <w:i/>
          <w:sz w:val="22"/>
          <w:szCs w:val="22"/>
          <w:lang w:val="en-GB"/>
        </w:rPr>
        <w:t>, Indonesia</w:t>
      </w:r>
    </w:p>
    <w:p w14:paraId="2FD2C106" w14:textId="77777777" w:rsidR="0051496B" w:rsidRDefault="0051496B" w:rsidP="00262CEF">
      <w:pPr>
        <w:pStyle w:val="Heading1"/>
        <w:tabs>
          <w:tab w:val="left" w:pos="8500"/>
        </w:tabs>
        <w:spacing w:before="0" w:beforeAutospacing="0" w:after="0" w:afterAutospacing="0"/>
        <w:contextualSpacing/>
        <w:rPr>
          <w:rFonts w:ascii="Lato" w:hAnsi="Lato" w:cs="Open Sans"/>
          <w:b w:val="0"/>
          <w:bCs w:val="0"/>
          <w:i/>
          <w:sz w:val="22"/>
          <w:szCs w:val="22"/>
          <w:lang w:val="en-GB"/>
        </w:rPr>
      </w:pPr>
    </w:p>
    <w:p w14:paraId="4343CB56" w14:textId="77777777" w:rsidR="009A5D01" w:rsidRPr="00262CEF" w:rsidRDefault="003461B6" w:rsidP="00262CEF">
      <w:pPr>
        <w:pStyle w:val="Heading1"/>
        <w:tabs>
          <w:tab w:val="left" w:pos="8500"/>
        </w:tabs>
        <w:spacing w:before="0" w:beforeAutospacing="0" w:after="0" w:afterAutospacing="0"/>
        <w:contextualSpacing/>
        <w:rPr>
          <w:rFonts w:ascii="Lato" w:hAnsi="Lato" w:cs="Open Sans"/>
          <w:b w:val="0"/>
          <w:bCs w:val="0"/>
          <w:i/>
          <w:sz w:val="22"/>
          <w:szCs w:val="22"/>
          <w:lang w:val="en-GB"/>
        </w:rPr>
      </w:pPr>
      <w:r>
        <w:rPr>
          <w:rFonts w:ascii="Lato" w:hAnsi="Lato" w:cs="Open Sans"/>
          <w:b w:val="0"/>
          <w:bCs w:val="0"/>
          <w:i/>
          <w:sz w:val="22"/>
          <w:szCs w:val="22"/>
          <w:lang w:val="en-GB"/>
        </w:rPr>
        <w:tab/>
      </w:r>
    </w:p>
    <w:tbl>
      <w:tblPr>
        <w:tblStyle w:val="TableGrid"/>
        <w:tblW w:w="0" w:type="auto"/>
        <w:jc w:val="center"/>
        <w:tblLook w:val="04A0" w:firstRow="1" w:lastRow="0" w:firstColumn="1" w:lastColumn="0" w:noHBand="0" w:noVBand="1"/>
      </w:tblPr>
      <w:tblGrid>
        <w:gridCol w:w="8926"/>
      </w:tblGrid>
      <w:tr w:rsidR="00A34600" w14:paraId="397F8948" w14:textId="77777777" w:rsidTr="00AE59FE">
        <w:trPr>
          <w:jc w:val="center"/>
        </w:trPr>
        <w:tc>
          <w:tcPr>
            <w:tcW w:w="8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F3FD"/>
          </w:tcPr>
          <w:p w14:paraId="1ADC7903" w14:textId="77777777" w:rsidR="0051496B" w:rsidRDefault="0051496B" w:rsidP="003A3ABB">
            <w:pPr>
              <w:pStyle w:val="Heading2"/>
              <w:tabs>
                <w:tab w:val="left" w:pos="8160"/>
              </w:tabs>
              <w:spacing w:before="0"/>
              <w:outlineLvl w:val="1"/>
              <w:rPr>
                <w:rFonts w:ascii="Source Sans Pro" w:hAnsi="Source Sans Pro" w:cs="Times New Roman"/>
                <w:b/>
                <w:color w:val="1F4E79" w:themeColor="accent5" w:themeShade="80"/>
                <w:sz w:val="22"/>
                <w:szCs w:val="22"/>
                <w:lang w:val="en-GB"/>
              </w:rPr>
            </w:pPr>
            <w:bookmarkStart w:id="1" w:name="_Toc18865147"/>
          </w:p>
          <w:p w14:paraId="171B289B" w14:textId="77777777" w:rsidR="0051496B" w:rsidRPr="003A3ABB" w:rsidRDefault="003461B6" w:rsidP="003A3ABB">
            <w:pPr>
              <w:pStyle w:val="Heading2"/>
              <w:tabs>
                <w:tab w:val="left" w:pos="8160"/>
              </w:tabs>
              <w:spacing w:before="0"/>
              <w:ind w:left="181"/>
              <w:outlineLvl w:val="1"/>
              <w:rPr>
                <w:rFonts w:ascii="Source Sans Pro" w:hAnsi="Source Sans Pro" w:cs="Times New Roman"/>
                <w:b/>
                <w:color w:val="1F4E79" w:themeColor="accent5" w:themeShade="80"/>
                <w:sz w:val="22"/>
                <w:szCs w:val="22"/>
                <w:lang w:val="en-GB"/>
              </w:rPr>
            </w:pPr>
            <w:r w:rsidRPr="003A3ABB">
              <w:rPr>
                <w:rFonts w:ascii="Source Sans Pro" w:hAnsi="Source Sans Pro" w:cs="Times New Roman"/>
                <w:b/>
                <w:color w:val="1F4E79" w:themeColor="accent5" w:themeShade="80"/>
                <w:sz w:val="22"/>
                <w:szCs w:val="22"/>
                <w:lang w:val="en-GB"/>
              </w:rPr>
              <w:t>Abstract</w:t>
            </w:r>
          </w:p>
          <w:p w14:paraId="07F184D9" w14:textId="2D63147A" w:rsidR="00E75D97" w:rsidRDefault="003461B6" w:rsidP="00FB6260">
            <w:pPr>
              <w:ind w:left="167" w:right="178" w:firstLine="10"/>
              <w:jc w:val="both"/>
              <w:rPr>
                <w:rFonts w:ascii="Lato" w:hAnsi="Lato" w:cs="Open Sans"/>
                <w:b/>
                <w:bCs/>
                <w:color w:val="1F4E79" w:themeColor="accent5" w:themeShade="80"/>
                <w:sz w:val="22"/>
                <w:szCs w:val="22"/>
              </w:rPr>
            </w:pPr>
            <w:r w:rsidRPr="00FB6260">
              <w:rPr>
                <w:rFonts w:ascii="ShangralaW90-Regular" w:hAnsi="ShangralaW90-Regular"/>
                <w:color w:val="000000" w:themeColor="text1"/>
                <w:sz w:val="20"/>
                <w:lang w:val="en"/>
              </w:rPr>
              <w:t xml:space="preserve">The Singapore-Johor-Riau Growth Triangle (Sijori-GT) was initiated by the government of Singapore, Malaysia, and Indonesia in 1989. It took advantage of complementarities among the involved regions. The peripheral regions were expected to reap benefits and gain spillovers from the extended metropolitan region of Singapore.  In the age 30 years of the growth triangle, many scholars found great progress and challenges of the subregional economic cooperation such as unbalanced development and </w:t>
            </w:r>
            <w:r w:rsidR="003021E3">
              <w:rPr>
                <w:rFonts w:ascii="ShangralaW90-Regular" w:hAnsi="ShangralaW90-Regular"/>
                <w:color w:val="000000" w:themeColor="text1"/>
                <w:sz w:val="20"/>
                <w:lang w:val="en"/>
              </w:rPr>
              <w:t xml:space="preserve">the </w:t>
            </w:r>
            <w:proofErr w:type="spellStart"/>
            <w:r w:rsidR="0071043E">
              <w:rPr>
                <w:rFonts w:ascii="ShangralaW90-Regular" w:hAnsi="ShangralaW90-Regular"/>
                <w:color w:val="000000" w:themeColor="text1"/>
                <w:sz w:val="20"/>
                <w:lang w:val="en"/>
              </w:rPr>
              <w:t>assum</w:t>
            </w:r>
            <w:r w:rsidR="003021E3">
              <w:rPr>
                <w:rFonts w:ascii="ShangralaW90-Regular" w:hAnsi="ShangralaW90-Regular"/>
                <w:color w:val="000000" w:themeColor="text1"/>
                <w:sz w:val="20"/>
                <w:lang w:val="en"/>
              </w:rPr>
              <w:t>ably</w:t>
            </w:r>
            <w:proofErr w:type="spellEnd"/>
            <w:r w:rsidRPr="00FB6260">
              <w:rPr>
                <w:rFonts w:ascii="ShangralaW90-Regular" w:hAnsi="ShangralaW90-Regular"/>
                <w:color w:val="000000" w:themeColor="text1"/>
                <w:sz w:val="20"/>
                <w:lang w:val="en"/>
              </w:rPr>
              <w:t xml:space="preserve"> weak commitment of the participating countries in the Riau Islands. This research has the aim to investigate the tenable commitments of Singapore's and Malaysia's Foreign Direct Investment (FDI) in the Riau Islands. Using statistical data from Indonesia's Ministry of Investment from 1990 to 2020, this study compared FDI in Riau Islands by origin, and Singapore's and Malaysia's FDI by sector and subsector. The data was analyzed using the independent sample t-test for two-variable comparison and analysis of variance (posthoc test) for multiple-variable comparison. Finally, this study found that: firstly, the investment of Singapore was larger than that of Malaysia in the Riau Islands; secondly, Singapore specialized in its investment in the manufacturing sector having a better comparative advantage while Malaysia specialized in its investment in the non-manufacturing sector with potential assumed capabilities in halal-related sectors. </w:t>
            </w:r>
            <w:r w:rsidR="00F05E9C" w:rsidRPr="001D059F">
              <w:rPr>
                <w:rFonts w:ascii="ShangralaW90-Regular" w:hAnsi="ShangralaW90-Regular"/>
                <w:color w:val="000000" w:themeColor="text1"/>
                <w:sz w:val="20"/>
                <w:highlight w:val="green"/>
                <w:lang w:val="en"/>
              </w:rPr>
              <w:t xml:space="preserve">The lesson-learned from Singaporean and Malaysian case is that dependence will determine the long-run commitment </w:t>
            </w:r>
            <w:r w:rsidR="00C267F2" w:rsidRPr="001D059F">
              <w:rPr>
                <w:rFonts w:ascii="ShangralaW90-Regular" w:hAnsi="ShangralaW90-Regular"/>
                <w:color w:val="000000" w:themeColor="text1"/>
                <w:sz w:val="20"/>
                <w:highlight w:val="green"/>
                <w:lang w:val="en"/>
              </w:rPr>
              <w:t xml:space="preserve">in </w:t>
            </w:r>
            <w:proofErr w:type="spellStart"/>
            <w:r w:rsidR="00F05E9C" w:rsidRPr="001D059F">
              <w:rPr>
                <w:rFonts w:ascii="ShangralaW90-Regular" w:hAnsi="ShangralaW90-Regular"/>
                <w:color w:val="000000" w:themeColor="text1"/>
                <w:sz w:val="20"/>
                <w:highlight w:val="green"/>
                <w:lang w:val="en"/>
              </w:rPr>
              <w:t>subregional</w:t>
            </w:r>
            <w:proofErr w:type="spellEnd"/>
            <w:r w:rsidR="00F05E9C" w:rsidRPr="001D059F">
              <w:rPr>
                <w:rFonts w:ascii="ShangralaW90-Regular" w:hAnsi="ShangralaW90-Regular"/>
                <w:color w:val="000000" w:themeColor="text1"/>
                <w:sz w:val="20"/>
                <w:highlight w:val="green"/>
                <w:lang w:val="en"/>
              </w:rPr>
              <w:t xml:space="preserve"> cooperation.</w:t>
            </w:r>
            <w:bookmarkStart w:id="2" w:name="_GoBack"/>
            <w:bookmarkEnd w:id="2"/>
          </w:p>
          <w:p w14:paraId="578237B2" w14:textId="77777777" w:rsidR="0051496B" w:rsidRPr="00F35187" w:rsidRDefault="003461B6" w:rsidP="00E75D97">
            <w:pPr>
              <w:ind w:left="167" w:right="42" w:firstLine="10"/>
              <w:rPr>
                <w:rFonts w:ascii="ShangralaW90-Regular" w:eastAsiaTheme="majorEastAsia" w:hAnsi="ShangralaW90-Regular" w:cstheme="majorBidi"/>
                <w:sz w:val="20"/>
                <w:lang w:val="en-US"/>
              </w:rPr>
            </w:pPr>
            <w:r w:rsidRPr="00262CEF">
              <w:rPr>
                <w:rFonts w:ascii="Lato" w:hAnsi="Lato" w:cs="Open Sans"/>
                <w:b/>
                <w:bCs/>
                <w:color w:val="1F4E79" w:themeColor="accent5" w:themeShade="80"/>
                <w:sz w:val="22"/>
                <w:szCs w:val="22"/>
              </w:rPr>
              <w:t>Keywords</w:t>
            </w:r>
            <w:r>
              <w:rPr>
                <w:rFonts w:ascii="Lato" w:hAnsi="Lato" w:cs="Open Sans"/>
                <w:b/>
                <w:bCs/>
                <w:color w:val="1F4E79" w:themeColor="accent5" w:themeShade="80"/>
                <w:sz w:val="22"/>
                <w:szCs w:val="22"/>
              </w:rPr>
              <w:t xml:space="preserve">: </w:t>
            </w:r>
            <w:r w:rsidR="00FB6260" w:rsidRPr="00FB6260">
              <w:rPr>
                <w:rFonts w:ascii="ShangralaW90-Regular" w:eastAsiaTheme="majorEastAsia" w:hAnsi="ShangralaW90-Regular" w:cstheme="majorBidi"/>
                <w:color w:val="000000" w:themeColor="text1"/>
                <w:sz w:val="20"/>
                <w:lang w:val="en-US"/>
              </w:rPr>
              <w:t>Sijori-GT</w:t>
            </w:r>
            <w:r w:rsidR="00FB6260">
              <w:rPr>
                <w:rFonts w:ascii="ShangralaW90-Regular" w:eastAsiaTheme="majorEastAsia" w:hAnsi="ShangralaW90-Regular" w:cstheme="majorBidi"/>
                <w:color w:val="000000" w:themeColor="text1"/>
                <w:sz w:val="20"/>
                <w:lang w:val="en-US"/>
              </w:rPr>
              <w:t>;</w:t>
            </w:r>
            <w:r w:rsidR="00FB6260" w:rsidRPr="00FB6260">
              <w:rPr>
                <w:rFonts w:ascii="ShangralaW90-Regular" w:eastAsiaTheme="majorEastAsia" w:hAnsi="ShangralaW90-Regular" w:cstheme="majorBidi"/>
                <w:color w:val="000000" w:themeColor="text1"/>
                <w:sz w:val="20"/>
                <w:lang w:val="en-US"/>
              </w:rPr>
              <w:t xml:space="preserve"> Subregional Cooperation</w:t>
            </w:r>
            <w:r w:rsidR="00FB6260">
              <w:rPr>
                <w:rFonts w:ascii="ShangralaW90-Regular" w:eastAsiaTheme="majorEastAsia" w:hAnsi="ShangralaW90-Regular" w:cstheme="majorBidi"/>
                <w:color w:val="000000" w:themeColor="text1"/>
                <w:sz w:val="20"/>
                <w:lang w:val="en-US"/>
              </w:rPr>
              <w:t>;</w:t>
            </w:r>
            <w:r w:rsidR="00FB6260" w:rsidRPr="00FB6260">
              <w:rPr>
                <w:rFonts w:ascii="ShangralaW90-Regular" w:eastAsiaTheme="majorEastAsia" w:hAnsi="ShangralaW90-Regular" w:cstheme="majorBidi"/>
                <w:color w:val="000000" w:themeColor="text1"/>
                <w:sz w:val="20"/>
                <w:lang w:val="en-US"/>
              </w:rPr>
              <w:t xml:space="preserve"> FDI</w:t>
            </w:r>
            <w:r w:rsidR="00FB6260">
              <w:rPr>
                <w:rFonts w:ascii="ShangralaW90-Regular" w:eastAsiaTheme="majorEastAsia" w:hAnsi="ShangralaW90-Regular" w:cstheme="majorBidi"/>
                <w:color w:val="000000" w:themeColor="text1"/>
                <w:sz w:val="20"/>
                <w:lang w:val="en-US"/>
              </w:rPr>
              <w:t>;</w:t>
            </w:r>
            <w:r w:rsidR="00FB6260" w:rsidRPr="00FB6260">
              <w:rPr>
                <w:rFonts w:ascii="ShangralaW90-Regular" w:eastAsiaTheme="majorEastAsia" w:hAnsi="ShangralaW90-Regular" w:cstheme="majorBidi"/>
                <w:color w:val="000000" w:themeColor="text1"/>
                <w:sz w:val="20"/>
                <w:lang w:val="en-US"/>
              </w:rPr>
              <w:t xml:space="preserve"> extended metropolitan region</w:t>
            </w:r>
            <w:r w:rsidR="00FB6260">
              <w:rPr>
                <w:rFonts w:ascii="ShangralaW90-Regular" w:eastAsiaTheme="majorEastAsia" w:hAnsi="ShangralaW90-Regular" w:cstheme="majorBidi"/>
                <w:color w:val="000000" w:themeColor="text1"/>
                <w:sz w:val="20"/>
                <w:lang w:val="en-US"/>
              </w:rPr>
              <w:t>;</w:t>
            </w:r>
            <w:r w:rsidR="00FB6260" w:rsidRPr="00FB6260">
              <w:rPr>
                <w:rFonts w:ascii="ShangralaW90-Regular" w:eastAsiaTheme="majorEastAsia" w:hAnsi="ShangralaW90-Regular" w:cstheme="majorBidi"/>
                <w:color w:val="000000" w:themeColor="text1"/>
                <w:sz w:val="20"/>
                <w:lang w:val="en-US"/>
              </w:rPr>
              <w:t xml:space="preserve"> halal</w:t>
            </w:r>
            <w:r w:rsidR="00FB6260" w:rsidRPr="00F35187">
              <w:rPr>
                <w:rFonts w:ascii="ShangralaW90-Regular" w:eastAsiaTheme="majorEastAsia" w:hAnsi="ShangralaW90-Regular" w:cstheme="majorBidi"/>
                <w:color w:val="FF0000"/>
                <w:sz w:val="20"/>
                <w:lang w:val="en-US"/>
              </w:rPr>
              <w:t xml:space="preserve"> </w:t>
            </w:r>
            <w:r w:rsidR="00F35187" w:rsidRPr="00F35187">
              <w:rPr>
                <w:rFonts w:ascii="ShangralaW90-Regular" w:eastAsiaTheme="majorEastAsia" w:hAnsi="ShangralaW90-Regular" w:cstheme="majorBidi"/>
                <w:sz w:val="20"/>
                <w:highlight w:val="green"/>
                <w:lang w:val="en-US"/>
              </w:rPr>
              <w:t>market</w:t>
            </w:r>
          </w:p>
          <w:p w14:paraId="399F90B7" w14:textId="77777777" w:rsidR="00E75D97" w:rsidRPr="00E75D97" w:rsidRDefault="00E75D97" w:rsidP="00E75D97">
            <w:pPr>
              <w:ind w:left="167" w:firstLine="10"/>
              <w:rPr>
                <w:rFonts w:ascii="Lato" w:hAnsi="Lato" w:cs="Open Sans"/>
                <w:b/>
                <w:bCs/>
                <w:color w:val="1F4E79" w:themeColor="accent5" w:themeShade="80"/>
                <w:sz w:val="22"/>
                <w:szCs w:val="22"/>
              </w:rPr>
            </w:pPr>
          </w:p>
        </w:tc>
      </w:tr>
      <w:bookmarkEnd w:id="1"/>
    </w:tbl>
    <w:p w14:paraId="6CC26FF6" w14:textId="77777777" w:rsidR="004B08D9" w:rsidRPr="006079D5" w:rsidRDefault="004B08D9" w:rsidP="006079D5">
      <w:pPr>
        <w:rPr>
          <w:rFonts w:ascii="Lato" w:hAnsi="Lato" w:cstheme="majorBidi"/>
        </w:rPr>
        <w:sectPr w:rsidR="004B08D9" w:rsidRPr="006079D5" w:rsidSect="000E6FBD">
          <w:footnotePr>
            <w:numFmt w:val="lowerLetter"/>
          </w:footnotePr>
          <w:type w:val="continuous"/>
          <w:pgSz w:w="11900" w:h="16840"/>
          <w:pgMar w:top="1440" w:right="1440" w:bottom="1440" w:left="1440" w:header="706" w:footer="706" w:gutter="0"/>
          <w:cols w:space="720"/>
          <w:titlePg/>
          <w:docGrid w:linePitch="299"/>
        </w:sectPr>
      </w:pPr>
    </w:p>
    <w:p w14:paraId="7A4E2447" w14:textId="77777777" w:rsidR="00A26735" w:rsidRDefault="00A26735" w:rsidP="00D0422A">
      <w:pPr>
        <w:spacing w:after="120"/>
        <w:jc w:val="both"/>
        <w:rPr>
          <w:rFonts w:ascii="Lato" w:hAnsi="Lato" w:cstheme="majorBidi"/>
          <w:b/>
          <w:color w:val="1F4E79" w:themeColor="accent5" w:themeShade="80"/>
        </w:rPr>
        <w:sectPr w:rsidR="00A26735" w:rsidSect="000E6FBD">
          <w:type w:val="continuous"/>
          <w:pgSz w:w="11900" w:h="16840"/>
          <w:pgMar w:top="1440" w:right="1440" w:bottom="1440" w:left="1440" w:header="706" w:footer="706" w:gutter="0"/>
          <w:cols w:space="720"/>
          <w:titlePg/>
          <w:docGrid w:linePitch="299"/>
        </w:sectPr>
      </w:pPr>
    </w:p>
    <w:p w14:paraId="22D2B7FF" w14:textId="77777777" w:rsidR="006079D5" w:rsidRPr="006079D5" w:rsidRDefault="003461B6" w:rsidP="006079D5">
      <w:pPr>
        <w:pStyle w:val="Body"/>
        <w:spacing w:after="120"/>
        <w:jc w:val="both"/>
        <w:rPr>
          <w:rFonts w:ascii="Lato" w:eastAsia="Cambria" w:hAnsi="Lato" w:cs="Cambria"/>
          <w:i/>
          <w:iCs/>
          <w:color w:val="1F4E79" w:themeColor="accent5" w:themeShade="80"/>
          <w:sz w:val="24"/>
          <w:szCs w:val="24"/>
        </w:rPr>
      </w:pPr>
      <w:r w:rsidRPr="006079D5">
        <w:rPr>
          <w:rFonts w:ascii="Lato" w:eastAsia="Cambria" w:hAnsi="Lato" w:cs="Cambria"/>
          <w:b/>
          <w:bCs/>
          <w:color w:val="1F4E79" w:themeColor="accent5" w:themeShade="80"/>
          <w:sz w:val="24"/>
          <w:szCs w:val="24"/>
          <w:lang w:val="fr-FR"/>
        </w:rPr>
        <w:t>Introduction</w:t>
      </w:r>
    </w:p>
    <w:p w14:paraId="08E98363" w14:textId="77777777" w:rsidR="00FB6260" w:rsidRPr="00FB6260" w:rsidRDefault="003461B6" w:rsidP="00FB6260">
      <w:pPr>
        <w:pStyle w:val="Body"/>
        <w:ind w:firstLine="567"/>
        <w:jc w:val="both"/>
        <w:rPr>
          <w:rFonts w:ascii="ShangralaW90-Regular" w:eastAsia="Cambria" w:hAnsi="ShangralaW90-Regular" w:cs="Cambria"/>
          <w:lang w:val="id-ID"/>
        </w:rPr>
      </w:pPr>
      <w:r w:rsidRPr="00FB6260">
        <w:rPr>
          <w:rFonts w:ascii="ShangralaW90-Regular" w:eastAsia="Cambria" w:hAnsi="ShangralaW90-Regular" w:cs="Cambria"/>
          <w:lang w:val="id-ID"/>
        </w:rPr>
        <w:t xml:space="preserve">At the end of 1989, the Government of Indonesia (GoI), Singapore, and Malaysia signed Singapore-Johor-Riau Growth Triangle (Sijori-GT) and formalized it on December 17, 1994 (HistorySG, 1989). The subregional economic cooperation covered Singapore, Johor in Malaysia, and some regencies/cities in Indonesia's Riau Province. At the beginning of the 2000s, the regencies/cities were consolidated into a new province of Riau Islands, separated from Riau Province. The emergence of subregional economic cooperation is due to "complementarities" among the participating countries and "spillover effects" from "the extended metropolitan region" (Kakazu, 1999). For three decades, </w:t>
      </w:r>
      <w:r w:rsidRPr="00FB6260">
        <w:rPr>
          <w:rFonts w:ascii="ShangralaW90-Regular" w:eastAsia="Cambria" w:hAnsi="ShangralaW90-Regular" w:cs="Cambria"/>
          <w:lang w:val="id-ID"/>
        </w:rPr>
        <w:lastRenderedPageBreak/>
        <w:t xml:space="preserve">the economies within the subregion developed well in terms of their GDP and GDRP (BPS, 1991, 2021; BPSRiauIslands, 2004; World Bank, n.d.; Xiaodong, 2019). </w:t>
      </w:r>
    </w:p>
    <w:p w14:paraId="016226F7" w14:textId="77777777" w:rsidR="00FB6260" w:rsidRPr="00FB6260" w:rsidRDefault="003461B6" w:rsidP="00FB6260">
      <w:pPr>
        <w:pStyle w:val="Body"/>
        <w:ind w:firstLine="567"/>
        <w:jc w:val="both"/>
        <w:rPr>
          <w:rFonts w:ascii="ShangralaW90-Regular" w:eastAsia="Cambria" w:hAnsi="ShangralaW90-Regular" w:cs="Cambria"/>
          <w:lang w:val="id-ID"/>
        </w:rPr>
      </w:pPr>
      <w:r w:rsidRPr="00FB6260">
        <w:rPr>
          <w:rFonts w:ascii="ShangralaW90-Regular" w:eastAsia="Cambria" w:hAnsi="ShangralaW90-Regular" w:cs="Cambria"/>
          <w:lang w:val="id-ID"/>
        </w:rPr>
        <w:t xml:space="preserve">As a complementarity concept (Kakazu, 1999), the economic development within the subregion was contributed by Foreign Direct Investment (FDI) from non-and participating countries. Many other researchers conducted studies on investment and economic development of the growth triangle. For example, Ooi (1995) studied spatial impacts of the growth triangle including FDI. Wadley and Parasati (2000) studied political commitments and capacity for subregional investment and trade among Indonesia, Malaysia, and Singapore. Hutchinson and van Grunsven (2018), van Grunsven and Hutchinson (2014, 2017) found the ups and downs of Singaporean investment in Batam since the beginning of Sijori-GT cooperation. Using qualitative methods, Xiaodong (2019) conducted a study on FDI within the subregion by the participating countries of Sijori-GT and found the unresolved/unsatisfactory issues of the subregional cooperation. </w:t>
      </w:r>
    </w:p>
    <w:p w14:paraId="2D7D7579" w14:textId="77777777" w:rsidR="00FB6260" w:rsidRPr="00FB6260" w:rsidRDefault="003461B6" w:rsidP="00FB6260">
      <w:pPr>
        <w:pStyle w:val="Body"/>
        <w:ind w:firstLine="567"/>
        <w:jc w:val="both"/>
        <w:rPr>
          <w:rFonts w:ascii="ShangralaW90-Regular" w:eastAsia="Cambria" w:hAnsi="ShangralaW90-Regular" w:cs="Cambria"/>
          <w:lang w:val="id-ID"/>
        </w:rPr>
      </w:pPr>
      <w:r w:rsidRPr="00FB6260">
        <w:rPr>
          <w:rFonts w:ascii="ShangralaW90-Regular" w:eastAsia="Cambria" w:hAnsi="ShangralaW90-Regular" w:cs="Cambria"/>
          <w:lang w:val="id-ID"/>
        </w:rPr>
        <w:t>Based on the previous findings, author</w:t>
      </w:r>
      <w:r w:rsidR="00BE2773">
        <w:rPr>
          <w:rFonts w:ascii="ShangralaW90-Regular" w:eastAsia="Cambria" w:hAnsi="ShangralaW90-Regular" w:cs="Cambria"/>
        </w:rPr>
        <w:t>s</w:t>
      </w:r>
      <w:r w:rsidRPr="00FB6260">
        <w:rPr>
          <w:rFonts w:ascii="ShangralaW90-Regular" w:eastAsia="Cambria" w:hAnsi="ShangralaW90-Regular" w:cs="Cambria"/>
          <w:lang w:val="id-ID"/>
        </w:rPr>
        <w:t xml:space="preserve"> found a research gap and three reasons for doing this study.  The first is a study comparing Singapore's, Malaysia's, and other countries' FDI within the Riau Islands to investigate the extent of Singapore's and Malaysia's investment commitments. The second is the study to compare Singapore's FDI in the electrical/electronic industry and other manufacturing industries to examine in which sector Singapore mostly invested in the province following the exit of Singapore's electrical and electronic industry from Batam due to the high cost of doing business and the change of Singaporean's policy (Hutchinson &amp; van Grunsven, 2018; van Grunsven, &amp; Hutchinson, 2014, 2017). The third is a study comparing Singapore's and Malaysia's FDI in the manufacturing sector and those in the non-manufacturing sector in Riau Islands. This study would prove Xiaodong's findings (2019) arguing that Singapore preferred FDI in the non-manufacturing sector to that in the manufacturing sector. </w:t>
      </w:r>
    </w:p>
    <w:p w14:paraId="41106F16" w14:textId="7BD298ED" w:rsidR="006079D5" w:rsidRDefault="003461B6" w:rsidP="00FB6260">
      <w:pPr>
        <w:pStyle w:val="Body"/>
        <w:ind w:firstLine="567"/>
        <w:jc w:val="both"/>
        <w:rPr>
          <w:rFonts w:ascii="ShangralaW90-Regular" w:eastAsia="Cambria" w:hAnsi="ShangralaW90-Regular" w:cs="Cambria"/>
          <w:bCs/>
          <w:i/>
        </w:rPr>
      </w:pPr>
      <w:r w:rsidRPr="00910B95">
        <w:rPr>
          <w:rFonts w:ascii="ShangralaW90-Regular" w:eastAsia="Cambria" w:hAnsi="ShangralaW90-Regular" w:cs="Cambria"/>
          <w:highlight w:val="green"/>
        </w:rPr>
        <w:t>In response to</w:t>
      </w:r>
      <w:r w:rsidR="00FB6260" w:rsidRPr="00FB6260">
        <w:rPr>
          <w:rFonts w:ascii="ShangralaW90-Regular" w:eastAsia="Cambria" w:hAnsi="ShangralaW90-Regular" w:cs="Cambria"/>
          <w:lang w:val="id-ID"/>
        </w:rPr>
        <w:t xml:space="preserve"> the aforementioned opportunities, challenges, and research gap, this study proposed the following research question: Did the partner countries of Sijori-GT </w:t>
      </w:r>
      <w:r w:rsidR="00FB6260" w:rsidRPr="00910B95">
        <w:rPr>
          <w:rFonts w:ascii="ShangralaW90-Regular" w:eastAsia="Cambria" w:hAnsi="ShangralaW90-Regular" w:cs="Cambria"/>
          <w:highlight w:val="green"/>
          <w:lang w:val="id-ID"/>
        </w:rPr>
        <w:t>maintain</w:t>
      </w:r>
      <w:r w:rsidR="00FB6260" w:rsidRPr="00FB6260">
        <w:rPr>
          <w:rFonts w:ascii="ShangralaW90-Regular" w:eastAsia="Cambria" w:hAnsi="ShangralaW90-Regular" w:cs="Cambria"/>
          <w:lang w:val="id-ID"/>
        </w:rPr>
        <w:t xml:space="preserve"> their commitments to invest in Indonesia's Riau Islands? In which sectors and sub-sectors did Singapore and Malaysia </w:t>
      </w:r>
      <w:r w:rsidR="00FB6260" w:rsidRPr="00910B95">
        <w:rPr>
          <w:rFonts w:ascii="ShangralaW90-Regular" w:eastAsia="Cambria" w:hAnsi="ShangralaW90-Regular" w:cs="Cambria"/>
          <w:highlight w:val="green"/>
          <w:lang w:val="id-ID"/>
        </w:rPr>
        <w:t>specialize</w:t>
      </w:r>
      <w:r w:rsidR="00FB6260" w:rsidRPr="00FB6260">
        <w:rPr>
          <w:rFonts w:ascii="ShangralaW90-Regular" w:eastAsia="Cambria" w:hAnsi="ShangralaW90-Regular" w:cs="Cambria"/>
          <w:lang w:val="id-ID"/>
        </w:rPr>
        <w:t xml:space="preserve"> their investments? This paper has the aim to investigate Singapore's and Malaysia's tenable FDI commitments and specializations in Indonesia's Riau Islands. This study would conclude the commitments and specializations of the partner countries for three decades of economic cooperation. The later sections of this paper were structured as follows. The literature review and phenomenon of Sijori-GT were covered in the second section. The research method was covered in the third section. The findings of this research were in the fourth section. The conclusion, research implication, and further suggestions were in the last section.</w:t>
      </w:r>
    </w:p>
    <w:p w14:paraId="2E8272F3" w14:textId="77777777" w:rsidR="000F2FB1" w:rsidRDefault="000F2FB1" w:rsidP="006079D5">
      <w:pPr>
        <w:pStyle w:val="Body"/>
        <w:ind w:firstLine="567"/>
        <w:jc w:val="both"/>
        <w:rPr>
          <w:rFonts w:ascii="ShangralaW90-Regular" w:eastAsia="Cambria" w:hAnsi="ShangralaW90-Regular" w:cs="Cambria"/>
          <w:bCs/>
          <w:i/>
        </w:rPr>
      </w:pPr>
    </w:p>
    <w:p w14:paraId="5D80AF3D" w14:textId="77777777" w:rsidR="004C472F" w:rsidRPr="006079D5" w:rsidRDefault="004C472F" w:rsidP="006079D5">
      <w:pPr>
        <w:pStyle w:val="Body"/>
        <w:ind w:firstLine="567"/>
        <w:jc w:val="both"/>
        <w:rPr>
          <w:rFonts w:ascii="ShangralaW90-Regular" w:eastAsia="Cambria" w:hAnsi="ShangralaW90-Regular" w:cs="Cambria"/>
          <w:bCs/>
          <w:i/>
        </w:rPr>
      </w:pPr>
    </w:p>
    <w:p w14:paraId="2CCFA4A2" w14:textId="77777777" w:rsidR="005D7E0C" w:rsidRDefault="003461B6" w:rsidP="00F72E97">
      <w:pPr>
        <w:pStyle w:val="Body"/>
        <w:spacing w:after="120"/>
        <w:jc w:val="both"/>
        <w:rPr>
          <w:rFonts w:ascii="Lato" w:eastAsia="Cambria" w:hAnsi="Lato" w:cs="Cambria"/>
          <w:b/>
          <w:color w:val="1F4E79" w:themeColor="accent5" w:themeShade="80"/>
          <w:sz w:val="24"/>
          <w:szCs w:val="24"/>
          <w:u w:color="FF0000"/>
        </w:rPr>
      </w:pPr>
      <w:r w:rsidRPr="005D7E0C">
        <w:rPr>
          <w:rFonts w:ascii="Lato" w:eastAsia="Cambria" w:hAnsi="Lato" w:cs="Cambria"/>
          <w:b/>
          <w:color w:val="1F4E79" w:themeColor="accent5" w:themeShade="80"/>
          <w:sz w:val="24"/>
          <w:szCs w:val="24"/>
          <w:u w:color="FF0000"/>
        </w:rPr>
        <w:t xml:space="preserve">Sijori-GT Economic Cooperation </w:t>
      </w:r>
    </w:p>
    <w:p w14:paraId="34EB9CCA" w14:textId="77777777" w:rsidR="006079D5" w:rsidRDefault="003461B6" w:rsidP="001E19E0">
      <w:pPr>
        <w:pStyle w:val="Body"/>
        <w:ind w:firstLine="540"/>
        <w:jc w:val="both"/>
        <w:rPr>
          <w:rFonts w:ascii="ShangralaW90-Regular" w:eastAsia="Cambria" w:hAnsi="ShangralaW90-Regular" w:cs="Cambria"/>
          <w:u w:color="FF0000"/>
        </w:rPr>
      </w:pPr>
      <w:r w:rsidRPr="005D7E0C">
        <w:rPr>
          <w:rFonts w:ascii="ShangralaW90-Regular" w:eastAsia="Cambria" w:hAnsi="ShangralaW90-Regular" w:cs="Cambria"/>
          <w:u w:color="FF0000"/>
        </w:rPr>
        <w:t>As mentioned earlier, Sijori-GT was announced in 1989 and formalized in 1994 (HistorySG, 1989). The cooperation involved Singapore as a city-state, Johor in Malaysia,  Riau (formerly), and Riau Islands (HistorySG, 1989). The subregional cooperation was originated from the comparative advantage of the participating regions/countries such as a comparative advantage in the electronic, oil, maritime, logistics, telecommunication, tourism, R&amp;D, and agribusiness sector (Table 1).</w:t>
      </w:r>
    </w:p>
    <w:p w14:paraId="4DEAC53A" w14:textId="77777777" w:rsidR="00910B95" w:rsidRDefault="00910B95" w:rsidP="005D7E0C">
      <w:pPr>
        <w:pStyle w:val="Body"/>
        <w:jc w:val="both"/>
        <w:rPr>
          <w:rFonts w:ascii="ShangralaW90-Regular" w:eastAsia="Cambria" w:hAnsi="ShangralaW90-Regular" w:cs="Cambria"/>
          <w:u w:color="FF0000"/>
        </w:rPr>
      </w:pPr>
    </w:p>
    <w:p w14:paraId="429D25BA" w14:textId="77777777" w:rsidR="006079D5" w:rsidRDefault="006079D5" w:rsidP="004C472F">
      <w:pPr>
        <w:pStyle w:val="Body"/>
        <w:jc w:val="center"/>
        <w:rPr>
          <w:rFonts w:ascii="ShangralaW90-Regular" w:eastAsia="Cambria" w:hAnsi="ShangralaW90-Regular" w:cs="Cambria"/>
          <w:u w:color="FF0000"/>
        </w:rPr>
      </w:pPr>
    </w:p>
    <w:p w14:paraId="21BD1A60" w14:textId="77777777" w:rsidR="007A22B2" w:rsidRDefault="007A22B2" w:rsidP="004C472F">
      <w:pPr>
        <w:pStyle w:val="Body"/>
        <w:jc w:val="center"/>
        <w:rPr>
          <w:rFonts w:ascii="ShangralaW90-Regular" w:eastAsia="Cambria" w:hAnsi="ShangralaW90-Regular" w:cs="Cambria"/>
          <w:u w:color="FF0000"/>
        </w:rPr>
      </w:pPr>
    </w:p>
    <w:p w14:paraId="6EA9AB7D" w14:textId="77777777" w:rsidR="004C472F" w:rsidRPr="00AF775F" w:rsidRDefault="003461B6" w:rsidP="004C472F">
      <w:pPr>
        <w:pStyle w:val="Body"/>
        <w:jc w:val="center"/>
        <w:rPr>
          <w:rFonts w:ascii="ShangralaW90-Regular" w:eastAsia="Cambria" w:hAnsi="ShangralaW90-Regular" w:cs="Cambria"/>
          <w:u w:color="FF0000"/>
        </w:rPr>
      </w:pPr>
      <w:r w:rsidRPr="00AF775F">
        <w:rPr>
          <w:rFonts w:ascii="ShangralaW90-Regular" w:eastAsia="Cambria" w:hAnsi="ShangralaW90-Regular" w:cs="Cambria"/>
          <w:u w:color="FF0000"/>
        </w:rPr>
        <w:lastRenderedPageBreak/>
        <w:t xml:space="preserve">Table 1. </w:t>
      </w:r>
      <w:r w:rsidRPr="00AF775F">
        <w:rPr>
          <w:rFonts w:ascii="ShangralaW90-Regular" w:eastAsia="Cambria" w:hAnsi="ShangralaW90-Regular" w:cs="Cambria"/>
          <w:i/>
          <w:u w:color="FF0000"/>
        </w:rPr>
        <w:t xml:space="preserve">Comparative Advantages of Regions </w:t>
      </w:r>
      <w:r w:rsidR="00910B95" w:rsidRPr="00910B95">
        <w:rPr>
          <w:rFonts w:ascii="ShangralaW90-Regular" w:eastAsia="Cambria" w:hAnsi="ShangralaW90-Regular" w:cs="Cambria"/>
          <w:i/>
          <w:highlight w:val="green"/>
          <w:u w:color="FF0000"/>
        </w:rPr>
        <w:t>within</w:t>
      </w:r>
      <w:r w:rsidRPr="00AF775F">
        <w:rPr>
          <w:rFonts w:ascii="ShangralaW90-Regular" w:eastAsia="Cambria" w:hAnsi="ShangralaW90-Regular" w:cs="Cambria"/>
          <w:i/>
          <w:u w:color="FF0000"/>
        </w:rPr>
        <w:t xml:space="preserve"> Sijori-GT</w:t>
      </w:r>
    </w:p>
    <w:p w14:paraId="7E24D9B6" w14:textId="77777777" w:rsidR="004C472F" w:rsidRDefault="004C472F" w:rsidP="004C472F">
      <w:pPr>
        <w:pStyle w:val="Body"/>
        <w:jc w:val="both"/>
        <w:rPr>
          <w:rFonts w:ascii="ShangralaW90-Regular" w:eastAsia="Cambria" w:hAnsi="ShangralaW90-Regular" w:cs="Cambria"/>
          <w:u w:color="FF0000"/>
        </w:rPr>
      </w:pPr>
    </w:p>
    <w:tbl>
      <w:tblPr>
        <w:tblStyle w:val="TableGrid"/>
        <w:tblW w:w="9010" w:type="dxa"/>
        <w:tblLook w:val="04A0" w:firstRow="1" w:lastRow="0" w:firstColumn="1" w:lastColumn="0" w:noHBand="0" w:noVBand="1"/>
      </w:tblPr>
      <w:tblGrid>
        <w:gridCol w:w="2203"/>
        <w:gridCol w:w="3194"/>
        <w:gridCol w:w="3613"/>
      </w:tblGrid>
      <w:tr w:rsidR="00A34600" w:rsidRPr="00BB01C2" w14:paraId="6C889589" w14:textId="77777777" w:rsidTr="004C472F">
        <w:trPr>
          <w:trHeight w:val="357"/>
          <w:tblHeader/>
        </w:trPr>
        <w:tc>
          <w:tcPr>
            <w:tcW w:w="2203" w:type="dxa"/>
            <w:shd w:val="clear" w:color="auto" w:fill="B4C6E7" w:themeFill="accent1" w:themeFillTint="66"/>
          </w:tcPr>
          <w:p w14:paraId="66C10C55" w14:textId="77777777" w:rsidR="004C472F" w:rsidRPr="00BB01C2" w:rsidRDefault="003461B6" w:rsidP="00C86BAE">
            <w:pPr>
              <w:jc w:val="center"/>
              <w:rPr>
                <w:rFonts w:ascii="ShangralaW90-Regular" w:hAnsi="ShangralaW90-Regular" w:cs="Arial"/>
                <w:b/>
                <w:sz w:val="20"/>
                <w:szCs w:val="20"/>
              </w:rPr>
            </w:pPr>
            <w:r w:rsidRPr="00BB01C2">
              <w:rPr>
                <w:rFonts w:ascii="ShangralaW90-Regular" w:hAnsi="ShangralaW90-Regular" w:cs="Arial"/>
                <w:b/>
                <w:bCs/>
                <w:kern w:val="24"/>
                <w:sz w:val="20"/>
                <w:szCs w:val="20"/>
              </w:rPr>
              <w:t>Sector</w:t>
            </w:r>
          </w:p>
        </w:tc>
        <w:tc>
          <w:tcPr>
            <w:tcW w:w="3194" w:type="dxa"/>
            <w:shd w:val="clear" w:color="auto" w:fill="B4C6E7" w:themeFill="accent1" w:themeFillTint="66"/>
          </w:tcPr>
          <w:p w14:paraId="17030467" w14:textId="77777777" w:rsidR="004C472F" w:rsidRPr="00BB01C2" w:rsidRDefault="003461B6" w:rsidP="00C86BAE">
            <w:pPr>
              <w:jc w:val="center"/>
              <w:rPr>
                <w:rFonts w:ascii="ShangralaW90-Regular" w:hAnsi="ShangralaW90-Regular" w:cs="Arial"/>
                <w:b/>
                <w:sz w:val="20"/>
                <w:szCs w:val="20"/>
              </w:rPr>
            </w:pPr>
            <w:r w:rsidRPr="00BB01C2">
              <w:rPr>
                <w:rFonts w:ascii="ShangralaW90-Regular" w:hAnsi="ShangralaW90-Regular" w:cs="Arial"/>
                <w:b/>
                <w:bCs/>
                <w:kern w:val="24"/>
                <w:sz w:val="20"/>
                <w:szCs w:val="20"/>
              </w:rPr>
              <w:t>Singapore</w:t>
            </w:r>
          </w:p>
        </w:tc>
        <w:tc>
          <w:tcPr>
            <w:tcW w:w="3613" w:type="dxa"/>
            <w:shd w:val="clear" w:color="auto" w:fill="B4C6E7" w:themeFill="accent1" w:themeFillTint="66"/>
          </w:tcPr>
          <w:p w14:paraId="69CCAFFE" w14:textId="77777777" w:rsidR="004C472F" w:rsidRPr="00BB01C2" w:rsidRDefault="003461B6" w:rsidP="00C86BAE">
            <w:pPr>
              <w:tabs>
                <w:tab w:val="left" w:pos="2673"/>
              </w:tabs>
              <w:jc w:val="center"/>
              <w:rPr>
                <w:rFonts w:ascii="ShangralaW90-Regular" w:hAnsi="ShangralaW90-Regular" w:cs="Arial"/>
                <w:b/>
                <w:sz w:val="20"/>
                <w:szCs w:val="20"/>
              </w:rPr>
            </w:pPr>
            <w:r w:rsidRPr="00BB01C2">
              <w:rPr>
                <w:rFonts w:ascii="ShangralaW90-Regular" w:hAnsi="ShangralaW90-Regular" w:cs="Arial"/>
                <w:b/>
                <w:bCs/>
                <w:kern w:val="24"/>
                <w:sz w:val="20"/>
                <w:szCs w:val="20"/>
              </w:rPr>
              <w:t>Riau Islands and Johor</w:t>
            </w:r>
          </w:p>
        </w:tc>
      </w:tr>
      <w:tr w:rsidR="00A34600" w:rsidRPr="00BB01C2" w14:paraId="010B60AC" w14:textId="77777777" w:rsidTr="004C472F">
        <w:trPr>
          <w:trHeight w:val="575"/>
        </w:trPr>
        <w:tc>
          <w:tcPr>
            <w:tcW w:w="2203" w:type="dxa"/>
          </w:tcPr>
          <w:p w14:paraId="4EDDA90C"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Electronics</w:t>
            </w:r>
          </w:p>
        </w:tc>
        <w:tc>
          <w:tcPr>
            <w:tcW w:w="3194" w:type="dxa"/>
          </w:tcPr>
          <w:p w14:paraId="28AB0A00"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The primary regional basis for the manufacturing industry; main offices for international procurements</w:t>
            </w:r>
            <w:r w:rsidR="00B15974" w:rsidRPr="00BB01C2">
              <w:rPr>
                <w:rFonts w:ascii="ShangralaW90-Regular" w:hAnsi="ShangralaW90-Regular" w:cs="Arial"/>
                <w:kern w:val="24"/>
                <w:sz w:val="20"/>
                <w:szCs w:val="20"/>
              </w:rPr>
              <w:t>.</w:t>
            </w:r>
          </w:p>
        </w:tc>
        <w:tc>
          <w:tcPr>
            <w:tcW w:w="3613" w:type="dxa"/>
          </w:tcPr>
          <w:p w14:paraId="44AB7745"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Lower costs of labor/land for labor/land-intensive assembly operations</w:t>
            </w:r>
            <w:r w:rsidR="00B15974" w:rsidRPr="00BB01C2">
              <w:rPr>
                <w:rFonts w:ascii="ShangralaW90-Regular" w:hAnsi="ShangralaW90-Regular" w:cs="Arial"/>
                <w:kern w:val="24"/>
                <w:sz w:val="20"/>
                <w:szCs w:val="20"/>
              </w:rPr>
              <w:t>.</w:t>
            </w:r>
          </w:p>
        </w:tc>
      </w:tr>
      <w:tr w:rsidR="00A34600" w:rsidRPr="00BB01C2" w14:paraId="638CC9E7" w14:textId="77777777" w:rsidTr="004C472F">
        <w:trPr>
          <w:trHeight w:val="366"/>
        </w:trPr>
        <w:tc>
          <w:tcPr>
            <w:tcW w:w="2203" w:type="dxa"/>
          </w:tcPr>
          <w:p w14:paraId="2C88485A"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Oil</w:t>
            </w:r>
          </w:p>
        </w:tc>
        <w:tc>
          <w:tcPr>
            <w:tcW w:w="3194" w:type="dxa"/>
          </w:tcPr>
          <w:p w14:paraId="034C8270"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Refining/petrochemical processing, trade, storage, and distribution</w:t>
            </w:r>
            <w:r w:rsidR="002B2D53" w:rsidRPr="00BB01C2">
              <w:rPr>
                <w:rFonts w:ascii="ShangralaW90-Regular" w:hAnsi="ShangralaW90-Regular" w:cs="Arial"/>
                <w:kern w:val="24"/>
                <w:sz w:val="20"/>
                <w:szCs w:val="20"/>
              </w:rPr>
              <w:t>.</w:t>
            </w:r>
          </w:p>
        </w:tc>
        <w:tc>
          <w:tcPr>
            <w:tcW w:w="3613" w:type="dxa"/>
          </w:tcPr>
          <w:p w14:paraId="2934A438"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Riau Islands (e.g., Karimun Islands) is an environmentally isolated space for oil storage</w:t>
            </w:r>
            <w:r w:rsidR="002B2D53" w:rsidRPr="00BB01C2">
              <w:rPr>
                <w:rFonts w:ascii="ShangralaW90-Regular" w:hAnsi="ShangralaW90-Regular" w:cs="Arial"/>
                <w:kern w:val="24"/>
                <w:sz w:val="20"/>
                <w:szCs w:val="20"/>
              </w:rPr>
              <w:t>.</w:t>
            </w:r>
            <w:r w:rsidRPr="00BB01C2">
              <w:rPr>
                <w:rFonts w:ascii="ShangralaW90-Regular" w:hAnsi="ShangralaW90-Regular" w:cs="Arial"/>
                <w:kern w:val="24"/>
                <w:sz w:val="20"/>
                <w:szCs w:val="20"/>
              </w:rPr>
              <w:t xml:space="preserve"> </w:t>
            </w:r>
          </w:p>
        </w:tc>
      </w:tr>
      <w:tr w:rsidR="00A34600" w:rsidRPr="00BB01C2" w14:paraId="23773CFE" w14:textId="77777777" w:rsidTr="004C472F">
        <w:trPr>
          <w:trHeight w:val="357"/>
        </w:trPr>
        <w:tc>
          <w:tcPr>
            <w:tcW w:w="2203" w:type="dxa"/>
          </w:tcPr>
          <w:p w14:paraId="2B2A9C0B"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Maritime Service</w:t>
            </w:r>
          </w:p>
        </w:tc>
        <w:tc>
          <w:tcPr>
            <w:tcW w:w="3194" w:type="dxa"/>
          </w:tcPr>
          <w:p w14:paraId="1CB10A32"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Having complete structures of ship-building industry, and reparation and maintenance</w:t>
            </w:r>
            <w:r w:rsidR="003C26EA" w:rsidRPr="00BB01C2">
              <w:rPr>
                <w:rFonts w:ascii="ShangralaW90-Regular" w:hAnsi="ShangralaW90-Regular" w:cs="Arial"/>
                <w:kern w:val="24"/>
                <w:sz w:val="20"/>
                <w:szCs w:val="20"/>
              </w:rPr>
              <w:t>.</w:t>
            </w:r>
            <w:r w:rsidRPr="00BB01C2">
              <w:rPr>
                <w:rFonts w:ascii="ShangralaW90-Regular" w:hAnsi="ShangralaW90-Regular" w:cs="Arial"/>
                <w:kern w:val="24"/>
                <w:sz w:val="20"/>
                <w:szCs w:val="20"/>
              </w:rPr>
              <w:t xml:space="preserve"> </w:t>
            </w:r>
          </w:p>
        </w:tc>
        <w:tc>
          <w:tcPr>
            <w:tcW w:w="3613" w:type="dxa"/>
          </w:tcPr>
          <w:p w14:paraId="4EE0DC7B"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Riau Islands and Johor offers places for shipbuilding industries, maintenance, and reparation services</w:t>
            </w:r>
            <w:r w:rsidR="003C26EA" w:rsidRPr="00BB01C2">
              <w:rPr>
                <w:rFonts w:ascii="ShangralaW90-Regular" w:hAnsi="ShangralaW90-Regular" w:cs="Arial"/>
                <w:kern w:val="24"/>
                <w:sz w:val="20"/>
                <w:szCs w:val="20"/>
              </w:rPr>
              <w:t>.</w:t>
            </w:r>
          </w:p>
        </w:tc>
      </w:tr>
      <w:tr w:rsidR="00A34600" w:rsidRPr="00BB01C2" w14:paraId="5B872ACB" w14:textId="77777777" w:rsidTr="004C472F">
        <w:trPr>
          <w:trHeight w:val="575"/>
        </w:trPr>
        <w:tc>
          <w:tcPr>
            <w:tcW w:w="2203" w:type="dxa"/>
          </w:tcPr>
          <w:p w14:paraId="306B9BBD"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Distribution and Telecommunication</w:t>
            </w:r>
          </w:p>
        </w:tc>
        <w:tc>
          <w:tcPr>
            <w:tcW w:w="3194" w:type="dxa"/>
          </w:tcPr>
          <w:p w14:paraId="2B4275BB"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Having world-class IT infrastructures and a wide range of business services; operational headquarters for many large MNCs</w:t>
            </w:r>
            <w:r w:rsidR="003C26EA" w:rsidRPr="00BB01C2">
              <w:rPr>
                <w:rFonts w:ascii="ShangralaW90-Regular" w:hAnsi="ShangralaW90-Regular" w:cs="Arial"/>
                <w:kern w:val="24"/>
                <w:sz w:val="20"/>
                <w:szCs w:val="20"/>
              </w:rPr>
              <w:t>.</w:t>
            </w:r>
          </w:p>
        </w:tc>
        <w:tc>
          <w:tcPr>
            <w:tcW w:w="3613" w:type="dxa"/>
          </w:tcPr>
          <w:p w14:paraId="2FAB5922"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Many manufacturing, marketing, procurement companies, and technical support by MNCs need coordination</w:t>
            </w:r>
            <w:r w:rsidR="003C26EA" w:rsidRPr="00BB01C2">
              <w:rPr>
                <w:rFonts w:ascii="ShangralaW90-Regular" w:hAnsi="ShangralaW90-Regular" w:cs="Arial"/>
                <w:kern w:val="24"/>
                <w:sz w:val="20"/>
                <w:szCs w:val="20"/>
              </w:rPr>
              <w:t>.</w:t>
            </w:r>
            <w:r w:rsidRPr="00BB01C2">
              <w:rPr>
                <w:rFonts w:ascii="ShangralaW90-Regular" w:hAnsi="ShangralaW90-Regular" w:cs="Arial"/>
                <w:kern w:val="24"/>
                <w:sz w:val="20"/>
                <w:szCs w:val="20"/>
              </w:rPr>
              <w:t xml:space="preserve"> </w:t>
            </w:r>
          </w:p>
        </w:tc>
      </w:tr>
      <w:tr w:rsidR="00A34600" w:rsidRPr="00BB01C2" w14:paraId="0DF10B99" w14:textId="77777777" w:rsidTr="004C472F">
        <w:trPr>
          <w:trHeight w:val="575"/>
        </w:trPr>
        <w:tc>
          <w:tcPr>
            <w:tcW w:w="2203" w:type="dxa"/>
          </w:tcPr>
          <w:p w14:paraId="6B81857C"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Logistics and Distribution</w:t>
            </w:r>
          </w:p>
        </w:tc>
        <w:tc>
          <w:tcPr>
            <w:tcW w:w="3194" w:type="dxa"/>
          </w:tcPr>
          <w:p w14:paraId="62EADAC9"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Excellent transportation and telecommunication facilities and logistics management service</w:t>
            </w:r>
            <w:r w:rsidR="003C26EA" w:rsidRPr="00BB01C2">
              <w:rPr>
                <w:rFonts w:ascii="ShangralaW90-Regular" w:hAnsi="ShangralaW90-Regular" w:cs="Arial"/>
                <w:kern w:val="24"/>
                <w:sz w:val="20"/>
                <w:szCs w:val="20"/>
              </w:rPr>
              <w:t>.</w:t>
            </w:r>
          </w:p>
        </w:tc>
        <w:tc>
          <w:tcPr>
            <w:tcW w:w="3613" w:type="dxa"/>
          </w:tcPr>
          <w:p w14:paraId="66D82ADB" w14:textId="77777777" w:rsidR="004C472F" w:rsidRPr="00BB01C2" w:rsidRDefault="003461B6" w:rsidP="00C86BAE">
            <w:pPr>
              <w:rPr>
                <w:rFonts w:ascii="ShangralaW90-Regular" w:hAnsi="ShangralaW90-Regular" w:cs="Arial"/>
                <w:kern w:val="24"/>
                <w:sz w:val="20"/>
                <w:szCs w:val="20"/>
              </w:rPr>
            </w:pPr>
            <w:r w:rsidRPr="00BB01C2">
              <w:rPr>
                <w:rFonts w:ascii="ShangralaW90-Regular" w:hAnsi="ShangralaW90-Regular" w:cs="Arial"/>
                <w:kern w:val="24"/>
                <w:sz w:val="20"/>
                <w:szCs w:val="20"/>
              </w:rPr>
              <w:t>The range of export activities of manufacturing industries needs transportation and logistics management support</w:t>
            </w:r>
            <w:r w:rsidR="003C26EA" w:rsidRPr="00BB01C2">
              <w:rPr>
                <w:rFonts w:ascii="ShangralaW90-Regular" w:hAnsi="ShangralaW90-Regular" w:cs="Arial"/>
                <w:kern w:val="24"/>
                <w:sz w:val="20"/>
                <w:szCs w:val="20"/>
              </w:rPr>
              <w:t>.</w:t>
            </w:r>
          </w:p>
        </w:tc>
      </w:tr>
      <w:tr w:rsidR="00A34600" w:rsidRPr="00BB01C2" w14:paraId="507D32AD" w14:textId="77777777" w:rsidTr="004C472F">
        <w:trPr>
          <w:trHeight w:val="575"/>
        </w:trPr>
        <w:tc>
          <w:tcPr>
            <w:tcW w:w="2203" w:type="dxa"/>
          </w:tcPr>
          <w:p w14:paraId="73569F9B"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R&amp;D</w:t>
            </w:r>
          </w:p>
        </w:tc>
        <w:tc>
          <w:tcPr>
            <w:tcW w:w="3194" w:type="dxa"/>
          </w:tcPr>
          <w:p w14:paraId="5D35F1E5" w14:textId="77777777" w:rsidR="004C472F" w:rsidRPr="00BB01C2" w:rsidRDefault="003461B6" w:rsidP="00C86BAE">
            <w:pPr>
              <w:rPr>
                <w:rFonts w:ascii="ShangralaW90-Regular" w:hAnsi="ShangralaW90-Regular" w:cs="Arial"/>
                <w:kern w:val="24"/>
                <w:sz w:val="20"/>
                <w:szCs w:val="20"/>
              </w:rPr>
            </w:pPr>
            <w:r w:rsidRPr="00BB01C2">
              <w:rPr>
                <w:rFonts w:ascii="ShangralaW90-Regular" w:hAnsi="ShangralaW90-Regular" w:cs="Arial"/>
                <w:kern w:val="24"/>
                <w:sz w:val="20"/>
                <w:szCs w:val="20"/>
              </w:rPr>
              <w:t>The large pool of R&amp;D scientists and engineers; having training facilities for R&amp;D human resources and its supporting infrastructures.</w:t>
            </w:r>
          </w:p>
        </w:tc>
        <w:tc>
          <w:tcPr>
            <w:tcW w:w="3613" w:type="dxa"/>
          </w:tcPr>
          <w:p w14:paraId="798DD04E" w14:textId="77777777" w:rsidR="004C472F" w:rsidRPr="00BB01C2" w:rsidRDefault="003461B6" w:rsidP="00C86BAE">
            <w:pPr>
              <w:rPr>
                <w:rFonts w:ascii="ShangralaW90-Regular" w:hAnsi="ShangralaW90-Regular" w:cs="Arial"/>
                <w:kern w:val="24"/>
                <w:sz w:val="20"/>
                <w:szCs w:val="20"/>
              </w:rPr>
            </w:pPr>
            <w:r w:rsidRPr="00BB01C2">
              <w:rPr>
                <w:rFonts w:ascii="ShangralaW90-Regular" w:hAnsi="ShangralaW90-Regular" w:cs="Arial"/>
                <w:kern w:val="24"/>
                <w:sz w:val="20"/>
                <w:szCs w:val="20"/>
              </w:rPr>
              <w:t xml:space="preserve">MNCs' products need the applied R&amp;D and design   for domestic market adaptations; MNCs’ operations need R&amp;D process improvement   </w:t>
            </w:r>
          </w:p>
        </w:tc>
      </w:tr>
      <w:tr w:rsidR="00A34600" w:rsidRPr="00BB01C2" w14:paraId="3E30423F" w14:textId="77777777" w:rsidTr="004C472F">
        <w:trPr>
          <w:trHeight w:val="1032"/>
        </w:trPr>
        <w:tc>
          <w:tcPr>
            <w:tcW w:w="2203" w:type="dxa"/>
          </w:tcPr>
          <w:p w14:paraId="6E0DF7E1"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Tourism</w:t>
            </w:r>
          </w:p>
        </w:tc>
        <w:tc>
          <w:tcPr>
            <w:tcW w:w="3194" w:type="dxa"/>
          </w:tcPr>
          <w:p w14:paraId="28EB5532"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The excellent gateway for air travel; emerging regional sea-cruise center; cosmopolitan shopping center; multicultural city</w:t>
            </w:r>
            <w:r w:rsidR="003C26EA" w:rsidRPr="00BB01C2">
              <w:rPr>
                <w:rFonts w:ascii="ShangralaW90-Regular" w:hAnsi="ShangralaW90-Regular" w:cs="Arial"/>
                <w:kern w:val="24"/>
                <w:sz w:val="20"/>
                <w:szCs w:val="20"/>
              </w:rPr>
              <w:t>.</w:t>
            </w:r>
          </w:p>
        </w:tc>
        <w:tc>
          <w:tcPr>
            <w:tcW w:w="3613" w:type="dxa"/>
          </w:tcPr>
          <w:p w14:paraId="67302CB6"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kern w:val="24"/>
                <w:sz w:val="20"/>
                <w:szCs w:val="20"/>
              </w:rPr>
              <w:t>Abundant leisure resources such as beach resorts, golf courses, etc; cultural diversity</w:t>
            </w:r>
            <w:r w:rsidR="003C26EA" w:rsidRPr="00BB01C2">
              <w:rPr>
                <w:rFonts w:ascii="ShangralaW90-Regular" w:hAnsi="ShangralaW90-Regular" w:cs="Arial"/>
                <w:kern w:val="24"/>
                <w:sz w:val="20"/>
                <w:szCs w:val="20"/>
              </w:rPr>
              <w:t>.</w:t>
            </w:r>
          </w:p>
        </w:tc>
      </w:tr>
      <w:tr w:rsidR="00A34600" w:rsidRPr="00BB01C2" w14:paraId="6D089A59" w14:textId="77777777" w:rsidTr="004C472F">
        <w:trPr>
          <w:trHeight w:val="357"/>
        </w:trPr>
        <w:tc>
          <w:tcPr>
            <w:tcW w:w="2203" w:type="dxa"/>
          </w:tcPr>
          <w:p w14:paraId="5C6A3597" w14:textId="77777777" w:rsidR="004C472F" w:rsidRPr="00BB01C2" w:rsidRDefault="003461B6" w:rsidP="00C86BAE">
            <w:pPr>
              <w:rPr>
                <w:rFonts w:ascii="ShangralaW90-Regular" w:hAnsi="ShangralaW90-Regular" w:cs="Arial"/>
                <w:sz w:val="20"/>
                <w:szCs w:val="20"/>
              </w:rPr>
            </w:pPr>
            <w:r w:rsidRPr="00BB01C2">
              <w:rPr>
                <w:rFonts w:ascii="ShangralaW90-Regular" w:hAnsi="ShangralaW90-Regular" w:cs="Arial"/>
                <w:b/>
                <w:bCs/>
                <w:kern w:val="24"/>
                <w:sz w:val="20"/>
                <w:szCs w:val="20"/>
              </w:rPr>
              <w:t>Agribusiness</w:t>
            </w:r>
          </w:p>
        </w:tc>
        <w:tc>
          <w:tcPr>
            <w:tcW w:w="3194" w:type="dxa"/>
          </w:tcPr>
          <w:p w14:paraId="7196BF5D" w14:textId="77777777" w:rsidR="004C472F" w:rsidRPr="00BB01C2" w:rsidRDefault="003461B6" w:rsidP="00C86BAE">
            <w:pPr>
              <w:rPr>
                <w:rFonts w:ascii="ShangralaW90-Regular" w:hAnsi="ShangralaW90-Regular" w:cs="Arial"/>
                <w:kern w:val="24"/>
                <w:sz w:val="20"/>
                <w:szCs w:val="20"/>
              </w:rPr>
            </w:pPr>
            <w:r w:rsidRPr="00BB01C2">
              <w:rPr>
                <w:rFonts w:ascii="ShangralaW90-Regular" w:hAnsi="ShangralaW90-Regular" w:cs="Arial"/>
                <w:kern w:val="24"/>
                <w:sz w:val="20"/>
                <w:szCs w:val="20"/>
              </w:rPr>
              <w:t>Capable R&amp;D for food processing industries and biotechnology</w:t>
            </w:r>
            <w:r w:rsidR="003C26EA" w:rsidRPr="00BB01C2">
              <w:rPr>
                <w:rFonts w:ascii="ShangralaW90-Regular" w:hAnsi="ShangralaW90-Regular" w:cs="Arial"/>
                <w:kern w:val="24"/>
                <w:sz w:val="20"/>
                <w:szCs w:val="20"/>
              </w:rPr>
              <w:t>.</w:t>
            </w:r>
            <w:r w:rsidRPr="00BB01C2">
              <w:rPr>
                <w:rFonts w:ascii="ShangralaW90-Regular" w:hAnsi="ShangralaW90-Regular" w:cs="Arial"/>
                <w:kern w:val="24"/>
                <w:sz w:val="20"/>
                <w:szCs w:val="20"/>
              </w:rPr>
              <w:t xml:space="preserve"> </w:t>
            </w:r>
          </w:p>
        </w:tc>
        <w:tc>
          <w:tcPr>
            <w:tcW w:w="3613" w:type="dxa"/>
          </w:tcPr>
          <w:p w14:paraId="3F384700" w14:textId="77777777" w:rsidR="004C472F" w:rsidRPr="00BB01C2" w:rsidRDefault="003461B6" w:rsidP="00C86BAE">
            <w:pPr>
              <w:rPr>
                <w:rFonts w:ascii="ShangralaW90-Regular" w:hAnsi="ShangralaW90-Regular" w:cs="Arial"/>
                <w:kern w:val="24"/>
                <w:sz w:val="20"/>
                <w:szCs w:val="20"/>
              </w:rPr>
            </w:pPr>
            <w:r w:rsidRPr="00BB01C2">
              <w:rPr>
                <w:rFonts w:ascii="ShangralaW90-Regular" w:hAnsi="ShangralaW90-Regular" w:cs="Arial"/>
                <w:kern w:val="24"/>
                <w:sz w:val="20"/>
                <w:szCs w:val="20"/>
              </w:rPr>
              <w:t>Abundant land resources for agricultural and animal husbandry</w:t>
            </w:r>
            <w:r w:rsidR="003C26EA" w:rsidRPr="00BB01C2">
              <w:rPr>
                <w:rFonts w:ascii="ShangralaW90-Regular" w:hAnsi="ShangralaW90-Regular" w:cs="Arial"/>
                <w:kern w:val="24"/>
                <w:sz w:val="20"/>
                <w:szCs w:val="20"/>
              </w:rPr>
              <w:t>.</w:t>
            </w:r>
          </w:p>
        </w:tc>
      </w:tr>
    </w:tbl>
    <w:p w14:paraId="7E162FE1" w14:textId="77777777" w:rsidR="004C472F" w:rsidRDefault="003461B6" w:rsidP="004C472F">
      <w:pPr>
        <w:pStyle w:val="Body"/>
        <w:spacing w:before="120"/>
        <w:jc w:val="center"/>
        <w:rPr>
          <w:rFonts w:ascii="ShangralaW90-Regular" w:eastAsia="Cambria" w:hAnsi="ShangralaW90-Regular" w:cs="Cambria"/>
          <w:u w:color="FF0000"/>
        </w:rPr>
      </w:pPr>
      <w:r w:rsidRPr="00064C46">
        <w:rPr>
          <w:rFonts w:ascii="ShangralaW90-Regular" w:eastAsia="Cambria" w:hAnsi="ShangralaW90-Regular" w:cs="Cambria"/>
          <w:u w:color="FF0000"/>
        </w:rPr>
        <w:t>(</w:t>
      </w:r>
      <w:r w:rsidR="00AF775F" w:rsidRPr="00064C46">
        <w:rPr>
          <w:rFonts w:ascii="ShangralaW90-Regular" w:eastAsia="Cambria" w:hAnsi="ShangralaW90-Regular" w:cs="Cambria"/>
          <w:u w:color="FF0000"/>
        </w:rPr>
        <w:t xml:space="preserve">Source: </w:t>
      </w:r>
      <w:r w:rsidRPr="00064C46">
        <w:rPr>
          <w:rFonts w:ascii="ShangralaW90-Regular" w:eastAsia="Cambria" w:hAnsi="ShangralaW90-Regular" w:cs="Cambria"/>
          <w:u w:color="FF0000"/>
        </w:rPr>
        <w:t>Kakazu, 1999)</w:t>
      </w:r>
    </w:p>
    <w:p w14:paraId="3437CC24" w14:textId="77777777" w:rsidR="004C472F" w:rsidRDefault="004C472F" w:rsidP="004C472F">
      <w:pPr>
        <w:pStyle w:val="Body"/>
        <w:jc w:val="center"/>
        <w:rPr>
          <w:rFonts w:ascii="ShangralaW90-Regular" w:eastAsia="Cambria" w:hAnsi="ShangralaW90-Regular" w:cs="Cambria"/>
          <w:u w:color="FF0000"/>
        </w:rPr>
      </w:pPr>
    </w:p>
    <w:p w14:paraId="5B9F4F3A" w14:textId="1E023821" w:rsidR="004C472F" w:rsidRDefault="003461B6" w:rsidP="00A75BFE">
      <w:pPr>
        <w:pStyle w:val="Body"/>
        <w:ind w:firstLine="540"/>
        <w:jc w:val="both"/>
        <w:rPr>
          <w:rFonts w:ascii="ShangralaW90-Regular" w:eastAsia="Cambria" w:hAnsi="ShangralaW90-Regular" w:cs="Cambria"/>
          <w:u w:color="FF0000"/>
        </w:rPr>
      </w:pPr>
      <w:r w:rsidRPr="004C472F">
        <w:rPr>
          <w:rFonts w:ascii="ShangralaW90-Regular" w:eastAsia="Cambria" w:hAnsi="ShangralaW90-Regular" w:cs="Cambria"/>
          <w:u w:color="FF0000"/>
        </w:rPr>
        <w:t xml:space="preserve">Due to limited land amidst a high growth population, Singapore then relocated its </w:t>
      </w:r>
      <w:r w:rsidRPr="00B15974">
        <w:rPr>
          <w:rFonts w:ascii="ShangralaW90-Regular" w:eastAsia="Cambria" w:hAnsi="ShangralaW90-Regular" w:cs="Cambria"/>
          <w:highlight w:val="green"/>
          <w:u w:color="FF0000"/>
        </w:rPr>
        <w:t>compan</w:t>
      </w:r>
      <w:r w:rsidR="00B15974" w:rsidRPr="00B15974">
        <w:rPr>
          <w:rFonts w:ascii="ShangralaW90-Regular" w:eastAsia="Cambria" w:hAnsi="ShangralaW90-Regular" w:cs="Cambria"/>
          <w:highlight w:val="green"/>
          <w:u w:color="FF0000"/>
        </w:rPr>
        <w:t>ies</w:t>
      </w:r>
      <w:r w:rsidRPr="004C472F">
        <w:rPr>
          <w:rFonts w:ascii="ShangralaW90-Regular" w:eastAsia="Cambria" w:hAnsi="ShangralaW90-Regular" w:cs="Cambria"/>
          <w:u w:color="FF0000"/>
        </w:rPr>
        <w:t xml:space="preserve"> to Riau Islands and Johor. Thus, Sijori-GT cooperation is also called an "extended metropolitan region" (Kakazu 1999; Mcgee and Greenberg 1992; Macleod and McGee 1996).  Singapore’s population density in 1990 was 4.5 million people per sq km of land area while Riau’s population density in 1990 was 35 people per sq km of land area. In 2018, Singapore’s population density was 7.9 million people per sq km of land area while Riau Islands’ population density in 2020 was 252 people per sq km of land area (Table 2). Due to Sijori-GT economic cooperation, Riau Islands' and Johor's GDP increased. Riau Islands and Johor increasingly shared their GRDP with the national GDP. Singapore's and Riau Islands' GDP per capita also increased. However, GDP growth for all of the regions in Sijori-GT grew slowly since 1994. Singapore's and Riau Islands' growth of GDP/GRDP per capita grew slowly (Table 2).</w:t>
      </w:r>
    </w:p>
    <w:p w14:paraId="56301969" w14:textId="0E4BBFAB" w:rsidR="00BB01C2" w:rsidRDefault="00BB01C2" w:rsidP="00A75BFE">
      <w:pPr>
        <w:pStyle w:val="Body"/>
        <w:ind w:firstLine="540"/>
        <w:jc w:val="both"/>
        <w:rPr>
          <w:rFonts w:ascii="ShangralaW90-Regular" w:eastAsia="Cambria" w:hAnsi="ShangralaW90-Regular" w:cs="Cambria"/>
          <w:u w:color="FF0000"/>
        </w:rPr>
      </w:pPr>
    </w:p>
    <w:p w14:paraId="0B04B387" w14:textId="4E68028E" w:rsidR="00BB01C2" w:rsidRDefault="00BB01C2" w:rsidP="00A75BFE">
      <w:pPr>
        <w:pStyle w:val="Body"/>
        <w:ind w:firstLine="540"/>
        <w:jc w:val="both"/>
        <w:rPr>
          <w:rFonts w:ascii="ShangralaW90-Regular" w:eastAsia="Cambria" w:hAnsi="ShangralaW90-Regular" w:cs="Cambria"/>
          <w:u w:color="FF0000"/>
        </w:rPr>
      </w:pPr>
    </w:p>
    <w:p w14:paraId="0736EA7D" w14:textId="60CE7C46" w:rsidR="00BB01C2" w:rsidRDefault="00BB01C2" w:rsidP="00A75BFE">
      <w:pPr>
        <w:pStyle w:val="Body"/>
        <w:ind w:firstLine="540"/>
        <w:jc w:val="both"/>
        <w:rPr>
          <w:rFonts w:ascii="ShangralaW90-Regular" w:eastAsia="Cambria" w:hAnsi="ShangralaW90-Regular" w:cs="Cambria"/>
          <w:u w:color="FF0000"/>
        </w:rPr>
      </w:pPr>
    </w:p>
    <w:p w14:paraId="6C82727A" w14:textId="636EA57C" w:rsidR="00BB01C2" w:rsidRDefault="00BB01C2" w:rsidP="00A75BFE">
      <w:pPr>
        <w:pStyle w:val="Body"/>
        <w:ind w:firstLine="540"/>
        <w:jc w:val="both"/>
        <w:rPr>
          <w:rFonts w:ascii="ShangralaW90-Regular" w:eastAsia="Cambria" w:hAnsi="ShangralaW90-Regular" w:cs="Cambria"/>
          <w:u w:color="FF0000"/>
        </w:rPr>
      </w:pPr>
    </w:p>
    <w:p w14:paraId="26CF66EE" w14:textId="7DAC8CFA" w:rsidR="00BB01C2" w:rsidRDefault="00BB01C2" w:rsidP="00A75BFE">
      <w:pPr>
        <w:pStyle w:val="Body"/>
        <w:ind w:firstLine="540"/>
        <w:jc w:val="both"/>
        <w:rPr>
          <w:rFonts w:ascii="ShangralaW90-Regular" w:eastAsia="Cambria" w:hAnsi="ShangralaW90-Regular" w:cs="Cambria"/>
          <w:u w:color="FF0000"/>
        </w:rPr>
      </w:pPr>
    </w:p>
    <w:p w14:paraId="5FA94ED3" w14:textId="77777777" w:rsidR="00BB01C2" w:rsidRDefault="00BB01C2" w:rsidP="00A75BFE">
      <w:pPr>
        <w:pStyle w:val="Body"/>
        <w:ind w:firstLine="540"/>
        <w:jc w:val="both"/>
        <w:rPr>
          <w:rFonts w:ascii="ShangralaW90-Regular" w:eastAsia="Cambria" w:hAnsi="ShangralaW90-Regular" w:cs="Cambria"/>
          <w:u w:color="FF0000"/>
        </w:rPr>
      </w:pPr>
    </w:p>
    <w:p w14:paraId="09AF4F39" w14:textId="77777777" w:rsidR="007A22B2" w:rsidRDefault="007A22B2" w:rsidP="00A75BFE">
      <w:pPr>
        <w:pStyle w:val="Body"/>
        <w:ind w:firstLine="540"/>
        <w:jc w:val="both"/>
        <w:rPr>
          <w:rFonts w:ascii="ShangralaW90-Regular" w:eastAsia="Cambria" w:hAnsi="ShangralaW90-Regular" w:cs="Cambria"/>
          <w:u w:color="FF0000"/>
        </w:rPr>
      </w:pPr>
    </w:p>
    <w:p w14:paraId="257EE772" w14:textId="77777777" w:rsidR="004C472F" w:rsidRPr="00AF775F" w:rsidRDefault="003461B6" w:rsidP="00AE59FE">
      <w:pPr>
        <w:pStyle w:val="Body"/>
        <w:spacing w:after="120"/>
        <w:jc w:val="center"/>
        <w:rPr>
          <w:rFonts w:ascii="ShangralaW90-Regular" w:eastAsia="Cambria" w:hAnsi="ShangralaW90-Regular" w:cs="Cambria"/>
          <w:i/>
          <w:u w:color="FF0000"/>
        </w:rPr>
      </w:pPr>
      <w:r w:rsidRPr="00AF775F">
        <w:rPr>
          <w:rFonts w:ascii="ShangralaW90-Regular" w:eastAsia="Cambria" w:hAnsi="ShangralaW90-Regular" w:cs="Cambria"/>
          <w:u w:color="FF0000"/>
        </w:rPr>
        <w:lastRenderedPageBreak/>
        <w:t xml:space="preserve">Table 2.  </w:t>
      </w:r>
      <w:r w:rsidRPr="00AF775F">
        <w:rPr>
          <w:rFonts w:ascii="ShangralaW90-Regular" w:eastAsia="Cambria" w:hAnsi="ShangralaW90-Regular" w:cs="Cambria"/>
          <w:i/>
          <w:u w:color="FF0000"/>
        </w:rPr>
        <w:t>Performances of Countries and Regions within Sijori-GT</w:t>
      </w:r>
    </w:p>
    <w:tbl>
      <w:tblPr>
        <w:tblW w:w="8975" w:type="dxa"/>
        <w:jc w:val="center"/>
        <w:tblCellMar>
          <w:left w:w="0" w:type="dxa"/>
          <w:right w:w="0" w:type="dxa"/>
        </w:tblCellMar>
        <w:tblLook w:val="04A0" w:firstRow="1" w:lastRow="0" w:firstColumn="1" w:lastColumn="0" w:noHBand="0" w:noVBand="1"/>
      </w:tblPr>
      <w:tblGrid>
        <w:gridCol w:w="2343"/>
        <w:gridCol w:w="1001"/>
        <w:gridCol w:w="1086"/>
        <w:gridCol w:w="2311"/>
        <w:gridCol w:w="1149"/>
        <w:gridCol w:w="1085"/>
      </w:tblGrid>
      <w:tr w:rsidR="00A34600" w:rsidRPr="00BB01C2" w14:paraId="1A51A743" w14:textId="77777777" w:rsidTr="004C472F">
        <w:trPr>
          <w:trHeight w:val="441"/>
          <w:tblHeader/>
          <w:jc w:val="center"/>
        </w:trPr>
        <w:tc>
          <w:tcPr>
            <w:tcW w:w="2343" w:type="dxa"/>
            <w:tcBorders>
              <w:top w:val="single" w:sz="8" w:space="0" w:color="4F81BD"/>
              <w:left w:val="single" w:sz="8" w:space="0" w:color="4F81BD"/>
              <w:bottom w:val="single" w:sz="8" w:space="0" w:color="4F81BD"/>
              <w:right w:val="single" w:sz="4" w:space="0" w:color="auto"/>
            </w:tcBorders>
            <w:shd w:val="clear" w:color="auto" w:fill="DCE6F2"/>
            <w:tcMar>
              <w:top w:w="13" w:type="dxa"/>
              <w:left w:w="13" w:type="dxa"/>
              <w:bottom w:w="0" w:type="dxa"/>
              <w:right w:w="13" w:type="dxa"/>
            </w:tcMar>
          </w:tcPr>
          <w:p w14:paraId="1081BA90" w14:textId="77777777" w:rsidR="004C472F" w:rsidRPr="00BB01C2" w:rsidRDefault="003461B6" w:rsidP="004C472F">
            <w:pPr>
              <w:contextualSpacing/>
              <w:jc w:val="center"/>
              <w:textAlignment w:val="bottom"/>
              <w:rPr>
                <w:rFonts w:ascii="ShangralaW90-Regular" w:hAnsi="ShangralaW90-Regular" w:cs="Arial"/>
                <w:b/>
                <w:sz w:val="20"/>
                <w:szCs w:val="20"/>
              </w:rPr>
            </w:pPr>
            <w:r w:rsidRPr="00BB01C2">
              <w:rPr>
                <w:rFonts w:ascii="ShangralaW90-Regular" w:hAnsi="ShangralaW90-Regular" w:cs="Arial"/>
                <w:b/>
                <w:sz w:val="20"/>
                <w:szCs w:val="20"/>
              </w:rPr>
              <w:t>Country/Region</w:t>
            </w:r>
          </w:p>
        </w:tc>
        <w:tc>
          <w:tcPr>
            <w:tcW w:w="1001" w:type="dxa"/>
            <w:tcBorders>
              <w:top w:val="single" w:sz="8" w:space="0" w:color="4F81BD"/>
              <w:left w:val="single" w:sz="4" w:space="0" w:color="auto"/>
              <w:bottom w:val="single" w:sz="8" w:space="0" w:color="4F81BD"/>
              <w:right w:val="single" w:sz="4" w:space="0" w:color="auto"/>
            </w:tcBorders>
            <w:shd w:val="clear" w:color="auto" w:fill="DCE6F2"/>
            <w:tcMar>
              <w:top w:w="13" w:type="dxa"/>
              <w:left w:w="13" w:type="dxa"/>
              <w:bottom w:w="0" w:type="dxa"/>
              <w:right w:w="13" w:type="dxa"/>
            </w:tcMar>
          </w:tcPr>
          <w:p w14:paraId="5BDED7FD"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b/>
                <w:bCs/>
                <w:kern w:val="24"/>
                <w:sz w:val="20"/>
                <w:szCs w:val="20"/>
              </w:rPr>
              <w:t>1994</w:t>
            </w:r>
          </w:p>
        </w:tc>
        <w:tc>
          <w:tcPr>
            <w:tcW w:w="1085" w:type="dxa"/>
            <w:tcBorders>
              <w:top w:val="single" w:sz="8" w:space="0" w:color="4F81BD"/>
              <w:left w:val="single" w:sz="4" w:space="0" w:color="auto"/>
              <w:bottom w:val="single" w:sz="8" w:space="0" w:color="4F81BD"/>
              <w:right w:val="single" w:sz="8" w:space="0" w:color="4F81BD"/>
            </w:tcBorders>
            <w:shd w:val="clear" w:color="auto" w:fill="DCE6F2"/>
            <w:tcMar>
              <w:top w:w="13" w:type="dxa"/>
              <w:left w:w="13" w:type="dxa"/>
              <w:bottom w:w="0" w:type="dxa"/>
              <w:right w:w="13" w:type="dxa"/>
            </w:tcMar>
          </w:tcPr>
          <w:p w14:paraId="0F10EF29"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b/>
                <w:bCs/>
                <w:kern w:val="24"/>
                <w:sz w:val="20"/>
                <w:szCs w:val="20"/>
              </w:rPr>
              <w:t>2019</w:t>
            </w:r>
          </w:p>
        </w:tc>
        <w:tc>
          <w:tcPr>
            <w:tcW w:w="2311" w:type="dxa"/>
            <w:tcBorders>
              <w:top w:val="single" w:sz="8" w:space="0" w:color="4F81BD"/>
              <w:left w:val="single" w:sz="4" w:space="0" w:color="auto"/>
              <w:bottom w:val="single" w:sz="8" w:space="0" w:color="4F81BD"/>
              <w:right w:val="single" w:sz="8" w:space="0" w:color="4F81BD"/>
            </w:tcBorders>
            <w:shd w:val="clear" w:color="auto" w:fill="DCE6F2"/>
          </w:tcPr>
          <w:p w14:paraId="17B3C11A" w14:textId="77777777" w:rsidR="004C472F" w:rsidRPr="00BB01C2" w:rsidRDefault="003461B6" w:rsidP="004C472F">
            <w:pPr>
              <w:contextualSpacing/>
              <w:jc w:val="center"/>
              <w:textAlignment w:val="bottom"/>
              <w:rPr>
                <w:rFonts w:ascii="ShangralaW90-Regular" w:hAnsi="ShangralaW90-Regular" w:cs="Arial"/>
                <w:b/>
                <w:sz w:val="20"/>
                <w:szCs w:val="20"/>
              </w:rPr>
            </w:pPr>
            <w:r w:rsidRPr="00BB01C2">
              <w:rPr>
                <w:rFonts w:ascii="ShangralaW90-Regular" w:hAnsi="ShangralaW90-Regular" w:cs="Arial"/>
                <w:b/>
                <w:sz w:val="20"/>
                <w:szCs w:val="20"/>
              </w:rPr>
              <w:t>Region</w:t>
            </w:r>
          </w:p>
        </w:tc>
        <w:tc>
          <w:tcPr>
            <w:tcW w:w="1149" w:type="dxa"/>
            <w:tcBorders>
              <w:top w:val="single" w:sz="8" w:space="0" w:color="4F81BD"/>
              <w:left w:val="single" w:sz="4" w:space="0" w:color="auto"/>
              <w:bottom w:val="single" w:sz="8" w:space="0" w:color="4F81BD"/>
              <w:right w:val="single" w:sz="8" w:space="0" w:color="4F81BD"/>
            </w:tcBorders>
            <w:shd w:val="clear" w:color="auto" w:fill="DCE6F2"/>
          </w:tcPr>
          <w:p w14:paraId="6603C7AD"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b/>
                <w:bCs/>
                <w:kern w:val="24"/>
                <w:sz w:val="20"/>
                <w:szCs w:val="20"/>
              </w:rPr>
              <w:t>1994</w:t>
            </w:r>
          </w:p>
        </w:tc>
        <w:tc>
          <w:tcPr>
            <w:tcW w:w="1085" w:type="dxa"/>
            <w:tcBorders>
              <w:top w:val="single" w:sz="8" w:space="0" w:color="4F81BD"/>
              <w:left w:val="single" w:sz="4" w:space="0" w:color="auto"/>
              <w:bottom w:val="single" w:sz="8" w:space="0" w:color="4F81BD"/>
              <w:right w:val="single" w:sz="8" w:space="0" w:color="4F81BD"/>
            </w:tcBorders>
            <w:shd w:val="clear" w:color="auto" w:fill="DCE6F2"/>
          </w:tcPr>
          <w:p w14:paraId="3A1031C2"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b/>
                <w:bCs/>
                <w:kern w:val="24"/>
                <w:sz w:val="20"/>
                <w:szCs w:val="20"/>
              </w:rPr>
              <w:t>2019</w:t>
            </w:r>
          </w:p>
        </w:tc>
      </w:tr>
      <w:tr w:rsidR="00A34600" w:rsidRPr="00BB01C2" w14:paraId="2178A151" w14:textId="77777777" w:rsidTr="004C472F">
        <w:trPr>
          <w:trHeight w:val="428"/>
          <w:jc w:val="center"/>
        </w:trPr>
        <w:tc>
          <w:tcPr>
            <w:tcW w:w="4430" w:type="dxa"/>
            <w:gridSpan w:val="3"/>
            <w:tcBorders>
              <w:top w:val="single" w:sz="8" w:space="0" w:color="4F81BD"/>
              <w:left w:val="single" w:sz="8" w:space="0" w:color="4F81BD"/>
              <w:bottom w:val="single" w:sz="8" w:space="0" w:color="4F81BD"/>
              <w:right w:val="single" w:sz="8" w:space="0" w:color="4F81BD"/>
            </w:tcBorders>
            <w:shd w:val="clear" w:color="auto" w:fill="F2F2F2" w:themeFill="background1" w:themeFillShade="F2"/>
            <w:tcMar>
              <w:top w:w="13" w:type="dxa"/>
              <w:left w:w="13" w:type="dxa"/>
              <w:bottom w:w="0" w:type="dxa"/>
              <w:right w:w="13" w:type="dxa"/>
            </w:tcMar>
          </w:tcPr>
          <w:p w14:paraId="498A6944" w14:textId="77777777" w:rsidR="004C472F" w:rsidRPr="00BB01C2" w:rsidRDefault="003461B6" w:rsidP="004C472F">
            <w:pPr>
              <w:pStyle w:val="ListParagraph"/>
              <w:numPr>
                <w:ilvl w:val="0"/>
                <w:numId w:val="14"/>
              </w:numPr>
              <w:spacing w:after="0" w:line="240" w:lineRule="auto"/>
              <w:ind w:left="461"/>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b/>
                <w:bCs/>
                <w:kern w:val="24"/>
                <w:sz w:val="20"/>
                <w:szCs w:val="20"/>
              </w:rPr>
              <w:t>Singapore</w:t>
            </w:r>
          </w:p>
        </w:tc>
        <w:tc>
          <w:tcPr>
            <w:tcW w:w="4545" w:type="dxa"/>
            <w:gridSpan w:val="3"/>
            <w:tcBorders>
              <w:top w:val="single" w:sz="8" w:space="0" w:color="4F81BD"/>
              <w:left w:val="single" w:sz="8" w:space="0" w:color="4F81BD"/>
              <w:bottom w:val="single" w:sz="8" w:space="0" w:color="4F81BD"/>
              <w:right w:val="single" w:sz="8" w:space="0" w:color="4F81BD"/>
            </w:tcBorders>
            <w:shd w:val="clear" w:color="auto" w:fill="F2F2F2" w:themeFill="background1" w:themeFillShade="F2"/>
          </w:tcPr>
          <w:p w14:paraId="5DF52AD2" w14:textId="77777777" w:rsidR="004C472F" w:rsidRPr="00BB01C2" w:rsidRDefault="003461B6" w:rsidP="004C472F">
            <w:pPr>
              <w:pStyle w:val="ListParagraph"/>
              <w:numPr>
                <w:ilvl w:val="0"/>
                <w:numId w:val="15"/>
              </w:numPr>
              <w:spacing w:after="0" w:line="240" w:lineRule="auto"/>
              <w:ind w:left="468"/>
              <w:textAlignment w:val="bottom"/>
              <w:rPr>
                <w:rFonts w:ascii="ShangralaW90-Regular" w:eastAsia="Times New Roman" w:hAnsi="ShangralaW90-Regular" w:cs="Arial"/>
                <w:b/>
                <w:bCs/>
                <w:kern w:val="24"/>
                <w:sz w:val="20"/>
                <w:szCs w:val="20"/>
              </w:rPr>
            </w:pPr>
            <w:r w:rsidRPr="00BB01C2">
              <w:rPr>
                <w:rFonts w:ascii="ShangralaW90-Regular" w:eastAsia="Times New Roman" w:hAnsi="ShangralaW90-Regular" w:cs="Arial"/>
                <w:b/>
                <w:bCs/>
                <w:kern w:val="24"/>
                <w:sz w:val="20"/>
                <w:szCs w:val="20"/>
              </w:rPr>
              <w:t>Riau Islands (Indonesia)</w:t>
            </w:r>
          </w:p>
        </w:tc>
      </w:tr>
      <w:tr w:rsidR="00A34600" w:rsidRPr="00BB01C2" w14:paraId="42D16594" w14:textId="77777777" w:rsidTr="004C472F">
        <w:trPr>
          <w:trHeight w:val="354"/>
          <w:jc w:val="center"/>
        </w:trPr>
        <w:tc>
          <w:tcPr>
            <w:tcW w:w="2343" w:type="dxa"/>
            <w:tcBorders>
              <w:top w:val="single" w:sz="8" w:space="0" w:color="4F81BD"/>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2BD170E6" w14:textId="77777777" w:rsidR="004C472F" w:rsidRPr="00BB01C2" w:rsidRDefault="003461B6" w:rsidP="004C472F">
            <w:pPr>
              <w:pStyle w:val="ListParagraph"/>
              <w:numPr>
                <w:ilvl w:val="0"/>
                <w:numId w:val="16"/>
              </w:numPr>
              <w:spacing w:after="0" w:line="240" w:lineRule="auto"/>
              <w:ind w:left="461" w:hanging="270"/>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kern w:val="24"/>
                <w:sz w:val="20"/>
                <w:szCs w:val="20"/>
              </w:rPr>
              <w:t>GDP (current, US$ trillion)</w:t>
            </w:r>
          </w:p>
        </w:tc>
        <w:tc>
          <w:tcPr>
            <w:tcW w:w="1001" w:type="dxa"/>
            <w:tcBorders>
              <w:top w:val="single" w:sz="8" w:space="0" w:color="4F81BD"/>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1CE5048B"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73.7</w:t>
            </w:r>
          </w:p>
        </w:tc>
        <w:tc>
          <w:tcPr>
            <w:tcW w:w="1085" w:type="dxa"/>
            <w:tcBorders>
              <w:top w:val="single" w:sz="8" w:space="0" w:color="4F81BD"/>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18EC0BEF"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372.06</w:t>
            </w:r>
          </w:p>
        </w:tc>
        <w:tc>
          <w:tcPr>
            <w:tcW w:w="2311" w:type="dxa"/>
            <w:tcBorders>
              <w:top w:val="single" w:sz="8" w:space="0" w:color="4F81BD"/>
              <w:left w:val="single" w:sz="4" w:space="0" w:color="auto"/>
              <w:bottom w:val="single" w:sz="8" w:space="0" w:color="4F81BD"/>
              <w:right w:val="single" w:sz="8" w:space="0" w:color="4F81BD"/>
            </w:tcBorders>
          </w:tcPr>
          <w:p w14:paraId="32929595"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kern w:val="24"/>
                <w:sz w:val="20"/>
                <w:szCs w:val="20"/>
              </w:rPr>
              <w:t>GRDP (current, IDR trillion)</w:t>
            </w:r>
          </w:p>
        </w:tc>
        <w:tc>
          <w:tcPr>
            <w:tcW w:w="1149" w:type="dxa"/>
            <w:tcBorders>
              <w:top w:val="single" w:sz="8" w:space="0" w:color="4F81BD"/>
              <w:left w:val="single" w:sz="4" w:space="0" w:color="auto"/>
              <w:bottom w:val="single" w:sz="8" w:space="0" w:color="4F81BD"/>
              <w:right w:val="single" w:sz="8" w:space="0" w:color="4F81BD"/>
            </w:tcBorders>
          </w:tcPr>
          <w:p w14:paraId="3C815317"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sz w:val="20"/>
                <w:szCs w:val="20"/>
              </w:rPr>
              <w:t>32.8*</w:t>
            </w:r>
          </w:p>
        </w:tc>
        <w:tc>
          <w:tcPr>
            <w:tcW w:w="1085" w:type="dxa"/>
            <w:tcBorders>
              <w:top w:val="single" w:sz="8" w:space="0" w:color="4F81BD"/>
              <w:left w:val="single" w:sz="4" w:space="0" w:color="auto"/>
              <w:bottom w:val="single" w:sz="8" w:space="0" w:color="4F81BD"/>
              <w:right w:val="single" w:sz="8" w:space="0" w:color="4F81BD"/>
            </w:tcBorders>
          </w:tcPr>
          <w:p w14:paraId="485D6AA7"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267.7</w:t>
            </w:r>
          </w:p>
        </w:tc>
      </w:tr>
      <w:tr w:rsidR="00A34600" w:rsidRPr="00BB01C2" w14:paraId="1847C0A8" w14:textId="77777777" w:rsidTr="004C472F">
        <w:trPr>
          <w:trHeight w:val="255"/>
          <w:jc w:val="center"/>
        </w:trPr>
        <w:tc>
          <w:tcPr>
            <w:tcW w:w="2343" w:type="dxa"/>
            <w:vMerge w:val="restart"/>
            <w:tcBorders>
              <w:top w:val="single" w:sz="8" w:space="0" w:color="4F81BD"/>
              <w:left w:val="single" w:sz="8" w:space="0" w:color="4F81BD"/>
              <w:right w:val="single" w:sz="4" w:space="0" w:color="auto"/>
            </w:tcBorders>
            <w:shd w:val="clear" w:color="auto" w:fill="auto"/>
            <w:tcMar>
              <w:top w:w="13" w:type="dxa"/>
              <w:left w:w="13" w:type="dxa"/>
              <w:bottom w:w="0" w:type="dxa"/>
              <w:right w:w="13" w:type="dxa"/>
            </w:tcMar>
          </w:tcPr>
          <w:p w14:paraId="7632C198" w14:textId="77777777" w:rsidR="004C472F" w:rsidRPr="00BB01C2" w:rsidRDefault="003461B6" w:rsidP="004C472F">
            <w:pPr>
              <w:pStyle w:val="ListParagraph"/>
              <w:numPr>
                <w:ilvl w:val="0"/>
                <w:numId w:val="16"/>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GDP growth (annual %)</w:t>
            </w:r>
          </w:p>
        </w:tc>
        <w:tc>
          <w:tcPr>
            <w:tcW w:w="1001" w:type="dxa"/>
            <w:vMerge w:val="restart"/>
            <w:tcBorders>
              <w:top w:val="single" w:sz="8" w:space="0" w:color="4F81BD"/>
              <w:left w:val="single" w:sz="4" w:space="0" w:color="auto"/>
              <w:right w:val="single" w:sz="4" w:space="0" w:color="auto"/>
            </w:tcBorders>
            <w:shd w:val="clear" w:color="auto" w:fill="auto"/>
            <w:tcMar>
              <w:top w:w="13" w:type="dxa"/>
              <w:left w:w="13" w:type="dxa"/>
              <w:bottom w:w="0" w:type="dxa"/>
              <w:right w:w="13" w:type="dxa"/>
            </w:tcMar>
          </w:tcPr>
          <w:p w14:paraId="1439D477"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11.1</w:t>
            </w:r>
          </w:p>
        </w:tc>
        <w:tc>
          <w:tcPr>
            <w:tcW w:w="1085" w:type="dxa"/>
            <w:vMerge w:val="restart"/>
            <w:tcBorders>
              <w:top w:val="single" w:sz="8" w:space="0" w:color="4F81BD"/>
              <w:left w:val="single" w:sz="4" w:space="0" w:color="auto"/>
              <w:right w:val="single" w:sz="8" w:space="0" w:color="4F81BD"/>
            </w:tcBorders>
            <w:shd w:val="clear" w:color="auto" w:fill="auto"/>
            <w:tcMar>
              <w:top w:w="13" w:type="dxa"/>
              <w:left w:w="13" w:type="dxa"/>
              <w:bottom w:w="0" w:type="dxa"/>
              <w:right w:w="13" w:type="dxa"/>
            </w:tcMar>
          </w:tcPr>
          <w:p w14:paraId="0998909B"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0.73</w:t>
            </w:r>
          </w:p>
        </w:tc>
        <w:tc>
          <w:tcPr>
            <w:tcW w:w="2311" w:type="dxa"/>
            <w:tcBorders>
              <w:top w:val="single" w:sz="8" w:space="0" w:color="4F81BD"/>
              <w:left w:val="single" w:sz="4" w:space="0" w:color="auto"/>
              <w:bottom w:val="single" w:sz="8" w:space="0" w:color="4F81BD"/>
              <w:right w:val="single" w:sz="8" w:space="0" w:color="4F81BD"/>
            </w:tcBorders>
          </w:tcPr>
          <w:p w14:paraId="3CF046B4"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kern w:val="24"/>
                <w:sz w:val="20"/>
                <w:szCs w:val="20"/>
              </w:rPr>
              <w:t>Growth of GRDP (annual, constant, %)</w:t>
            </w:r>
          </w:p>
        </w:tc>
        <w:tc>
          <w:tcPr>
            <w:tcW w:w="1149" w:type="dxa"/>
            <w:tcBorders>
              <w:top w:val="single" w:sz="8" w:space="0" w:color="4F81BD"/>
              <w:left w:val="single" w:sz="4" w:space="0" w:color="auto"/>
              <w:bottom w:val="single" w:sz="8" w:space="0" w:color="4F81BD"/>
              <w:right w:val="single" w:sz="8" w:space="0" w:color="4F81BD"/>
            </w:tcBorders>
          </w:tcPr>
          <w:p w14:paraId="68D52A4D"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sz w:val="20"/>
                <w:szCs w:val="20"/>
              </w:rPr>
              <w:t>6.5**</w:t>
            </w:r>
          </w:p>
        </w:tc>
        <w:tc>
          <w:tcPr>
            <w:tcW w:w="1085" w:type="dxa"/>
            <w:tcBorders>
              <w:top w:val="single" w:sz="8" w:space="0" w:color="4F81BD"/>
              <w:left w:val="single" w:sz="4" w:space="0" w:color="auto"/>
              <w:bottom w:val="single" w:sz="8" w:space="0" w:color="4F81BD"/>
              <w:right w:val="single" w:sz="8" w:space="0" w:color="4F81BD"/>
            </w:tcBorders>
          </w:tcPr>
          <w:p w14:paraId="54C4ADAE"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4.84</w:t>
            </w:r>
          </w:p>
        </w:tc>
      </w:tr>
      <w:tr w:rsidR="00A34600" w:rsidRPr="00BB01C2" w14:paraId="7D0E8CBF" w14:textId="77777777" w:rsidTr="004C472F">
        <w:trPr>
          <w:trHeight w:val="255"/>
          <w:jc w:val="center"/>
        </w:trPr>
        <w:tc>
          <w:tcPr>
            <w:tcW w:w="2343" w:type="dxa"/>
            <w:vMerge/>
            <w:tcBorders>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13B6BBB6" w14:textId="77777777" w:rsidR="004C472F" w:rsidRPr="00BB01C2" w:rsidRDefault="004C472F" w:rsidP="004C472F">
            <w:pPr>
              <w:pStyle w:val="ListParagraph"/>
              <w:numPr>
                <w:ilvl w:val="0"/>
                <w:numId w:val="16"/>
              </w:numPr>
              <w:spacing w:after="0" w:line="240" w:lineRule="auto"/>
              <w:ind w:left="461" w:hanging="270"/>
              <w:textAlignment w:val="bottom"/>
              <w:rPr>
                <w:rFonts w:ascii="ShangralaW90-Regular" w:eastAsia="Times New Roman" w:hAnsi="ShangralaW90-Regular" w:cs="Arial"/>
                <w:kern w:val="24"/>
                <w:sz w:val="20"/>
                <w:szCs w:val="20"/>
              </w:rPr>
            </w:pPr>
          </w:p>
        </w:tc>
        <w:tc>
          <w:tcPr>
            <w:tcW w:w="1001" w:type="dxa"/>
            <w:vMerge/>
            <w:tcBorders>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644BDDF4" w14:textId="77777777" w:rsidR="004C472F" w:rsidRPr="00BB01C2" w:rsidRDefault="004C472F" w:rsidP="004C472F">
            <w:pPr>
              <w:contextualSpacing/>
              <w:jc w:val="center"/>
              <w:textAlignment w:val="bottom"/>
              <w:rPr>
                <w:rFonts w:ascii="ShangralaW90-Regular" w:hAnsi="ShangralaW90-Regular" w:cs="Arial"/>
                <w:kern w:val="24"/>
                <w:sz w:val="20"/>
                <w:szCs w:val="20"/>
              </w:rPr>
            </w:pPr>
          </w:p>
        </w:tc>
        <w:tc>
          <w:tcPr>
            <w:tcW w:w="1085" w:type="dxa"/>
            <w:vMerge/>
            <w:tcBorders>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4D8EB341" w14:textId="77777777" w:rsidR="004C472F" w:rsidRPr="00BB01C2" w:rsidRDefault="004C472F" w:rsidP="004C472F">
            <w:pPr>
              <w:contextualSpacing/>
              <w:jc w:val="center"/>
              <w:textAlignment w:val="bottom"/>
              <w:rPr>
                <w:rFonts w:ascii="ShangralaW90-Regular" w:hAnsi="ShangralaW90-Regular" w:cs="Arial"/>
                <w:kern w:val="24"/>
                <w:sz w:val="20"/>
                <w:szCs w:val="20"/>
              </w:rPr>
            </w:pPr>
          </w:p>
        </w:tc>
        <w:tc>
          <w:tcPr>
            <w:tcW w:w="2311" w:type="dxa"/>
            <w:tcBorders>
              <w:top w:val="single" w:sz="8" w:space="0" w:color="4F81BD"/>
              <w:left w:val="single" w:sz="4" w:space="0" w:color="auto"/>
              <w:bottom w:val="single" w:sz="8" w:space="0" w:color="4F81BD"/>
              <w:right w:val="single" w:sz="8" w:space="0" w:color="4F81BD"/>
            </w:tcBorders>
          </w:tcPr>
          <w:p w14:paraId="767FA7BE"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Share of total national GDP (%)</w:t>
            </w:r>
          </w:p>
        </w:tc>
        <w:tc>
          <w:tcPr>
            <w:tcW w:w="1149" w:type="dxa"/>
            <w:tcBorders>
              <w:top w:val="single" w:sz="8" w:space="0" w:color="4F81BD"/>
              <w:left w:val="single" w:sz="4" w:space="0" w:color="auto"/>
              <w:bottom w:val="single" w:sz="8" w:space="0" w:color="4F81BD"/>
              <w:right w:val="single" w:sz="8" w:space="0" w:color="4F81BD"/>
            </w:tcBorders>
          </w:tcPr>
          <w:p w14:paraId="1A5309C7"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1.6</w:t>
            </w:r>
          </w:p>
        </w:tc>
        <w:tc>
          <w:tcPr>
            <w:tcW w:w="1085" w:type="dxa"/>
            <w:tcBorders>
              <w:top w:val="single" w:sz="8" w:space="0" w:color="4F81BD"/>
              <w:left w:val="single" w:sz="4" w:space="0" w:color="auto"/>
              <w:bottom w:val="single" w:sz="8" w:space="0" w:color="4F81BD"/>
              <w:right w:val="single" w:sz="8" w:space="0" w:color="4F81BD"/>
            </w:tcBorders>
          </w:tcPr>
          <w:p w14:paraId="7EAAE48A"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1.7</w:t>
            </w:r>
          </w:p>
        </w:tc>
      </w:tr>
      <w:tr w:rsidR="00A34600" w:rsidRPr="00BB01C2" w14:paraId="57AE2C68" w14:textId="77777777" w:rsidTr="004C472F">
        <w:trPr>
          <w:trHeight w:val="255"/>
          <w:jc w:val="center"/>
        </w:trPr>
        <w:tc>
          <w:tcPr>
            <w:tcW w:w="2343" w:type="dxa"/>
            <w:tcBorders>
              <w:top w:val="single" w:sz="8" w:space="0" w:color="4F81BD"/>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323A7D17" w14:textId="77777777" w:rsidR="004C472F" w:rsidRPr="00BB01C2" w:rsidRDefault="003461B6" w:rsidP="004C472F">
            <w:pPr>
              <w:pStyle w:val="ListParagraph"/>
              <w:numPr>
                <w:ilvl w:val="0"/>
                <w:numId w:val="16"/>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 xml:space="preserve">GDP per capita (current, US$ </w:t>
            </w:r>
          </w:p>
          <w:p w14:paraId="08DD9F05" w14:textId="77777777" w:rsidR="004C472F" w:rsidRPr="00BB01C2" w:rsidRDefault="003461B6" w:rsidP="004C472F">
            <w:pPr>
              <w:pStyle w:val="ListParagraph"/>
              <w:spacing w:after="0" w:line="240" w:lineRule="auto"/>
              <w:ind w:left="461"/>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million)</w:t>
            </w:r>
          </w:p>
        </w:tc>
        <w:tc>
          <w:tcPr>
            <w:tcW w:w="1001" w:type="dxa"/>
            <w:tcBorders>
              <w:top w:val="single" w:sz="8" w:space="0" w:color="4F81BD"/>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392A371E"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21.6</w:t>
            </w:r>
          </w:p>
        </w:tc>
        <w:tc>
          <w:tcPr>
            <w:tcW w:w="1085" w:type="dxa"/>
            <w:tcBorders>
              <w:top w:val="single" w:sz="8" w:space="0" w:color="4F81BD"/>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23914B7F"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65.23</w:t>
            </w:r>
          </w:p>
        </w:tc>
        <w:tc>
          <w:tcPr>
            <w:tcW w:w="2311" w:type="dxa"/>
            <w:tcBorders>
              <w:top w:val="single" w:sz="8" w:space="0" w:color="4F81BD"/>
              <w:left w:val="single" w:sz="4" w:space="0" w:color="auto"/>
              <w:bottom w:val="single" w:sz="8" w:space="0" w:color="4F81BD"/>
              <w:right w:val="single" w:sz="8" w:space="0" w:color="4F81BD"/>
            </w:tcBorders>
          </w:tcPr>
          <w:p w14:paraId="180A1990"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GRDP per capita (current, IDR million)</w:t>
            </w:r>
          </w:p>
        </w:tc>
        <w:tc>
          <w:tcPr>
            <w:tcW w:w="1149" w:type="dxa"/>
            <w:tcBorders>
              <w:top w:val="single" w:sz="8" w:space="0" w:color="4F81BD"/>
              <w:left w:val="single" w:sz="4" w:space="0" w:color="auto"/>
              <w:bottom w:val="single" w:sz="8" w:space="0" w:color="4F81BD"/>
              <w:right w:val="single" w:sz="8" w:space="0" w:color="4F81BD"/>
            </w:tcBorders>
          </w:tcPr>
          <w:p w14:paraId="5683554B"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28.1*</w:t>
            </w:r>
          </w:p>
        </w:tc>
        <w:tc>
          <w:tcPr>
            <w:tcW w:w="1085" w:type="dxa"/>
            <w:tcBorders>
              <w:top w:val="single" w:sz="8" w:space="0" w:color="4F81BD"/>
              <w:left w:val="single" w:sz="4" w:space="0" w:color="auto"/>
              <w:bottom w:val="single" w:sz="8" w:space="0" w:color="4F81BD"/>
              <w:right w:val="single" w:sz="8" w:space="0" w:color="4F81BD"/>
            </w:tcBorders>
          </w:tcPr>
          <w:p w14:paraId="076C0FFE"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122.2</w:t>
            </w:r>
          </w:p>
        </w:tc>
      </w:tr>
      <w:tr w:rsidR="00A34600" w:rsidRPr="00BB01C2" w14:paraId="00000043" w14:textId="77777777" w:rsidTr="004C472F">
        <w:trPr>
          <w:trHeight w:val="354"/>
          <w:jc w:val="center"/>
        </w:trPr>
        <w:tc>
          <w:tcPr>
            <w:tcW w:w="2343" w:type="dxa"/>
            <w:tcBorders>
              <w:top w:val="single" w:sz="8" w:space="0" w:color="4F81BD"/>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4FEA8745" w14:textId="77777777" w:rsidR="004C472F" w:rsidRPr="00BB01C2" w:rsidRDefault="003461B6" w:rsidP="004C472F">
            <w:pPr>
              <w:pStyle w:val="ListParagraph"/>
              <w:numPr>
                <w:ilvl w:val="0"/>
                <w:numId w:val="16"/>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Growth of GDP per capita (annual %)</w:t>
            </w:r>
          </w:p>
        </w:tc>
        <w:tc>
          <w:tcPr>
            <w:tcW w:w="1001" w:type="dxa"/>
            <w:tcBorders>
              <w:top w:val="single" w:sz="8" w:space="0" w:color="4F81BD"/>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735434B6"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7.7</w:t>
            </w:r>
          </w:p>
        </w:tc>
        <w:tc>
          <w:tcPr>
            <w:tcW w:w="1085" w:type="dxa"/>
            <w:tcBorders>
              <w:top w:val="single" w:sz="8" w:space="0" w:color="4F81BD"/>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0077115F"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(0.41)</w:t>
            </w:r>
          </w:p>
        </w:tc>
        <w:tc>
          <w:tcPr>
            <w:tcW w:w="2311" w:type="dxa"/>
            <w:tcBorders>
              <w:top w:val="single" w:sz="8" w:space="0" w:color="4F81BD"/>
              <w:left w:val="single" w:sz="4" w:space="0" w:color="auto"/>
              <w:bottom w:val="single" w:sz="8" w:space="0" w:color="4F81BD"/>
              <w:right w:val="single" w:sz="8" w:space="0" w:color="4F81BD"/>
            </w:tcBorders>
          </w:tcPr>
          <w:p w14:paraId="72E228AC"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Growth of GRDP per capita (constant, %)</w:t>
            </w:r>
          </w:p>
        </w:tc>
        <w:tc>
          <w:tcPr>
            <w:tcW w:w="1149" w:type="dxa"/>
            <w:tcBorders>
              <w:top w:val="single" w:sz="8" w:space="0" w:color="4F81BD"/>
              <w:left w:val="single" w:sz="4" w:space="0" w:color="auto"/>
              <w:bottom w:val="single" w:sz="8" w:space="0" w:color="4F81BD"/>
              <w:right w:val="single" w:sz="8" w:space="0" w:color="4F81BD"/>
            </w:tcBorders>
          </w:tcPr>
          <w:p w14:paraId="693F5368"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4.3**</w:t>
            </w:r>
          </w:p>
        </w:tc>
        <w:tc>
          <w:tcPr>
            <w:tcW w:w="1085" w:type="dxa"/>
            <w:tcBorders>
              <w:top w:val="single" w:sz="8" w:space="0" w:color="4F81BD"/>
              <w:left w:val="single" w:sz="4" w:space="0" w:color="auto"/>
              <w:bottom w:val="single" w:sz="8" w:space="0" w:color="4F81BD"/>
              <w:right w:val="single" w:sz="8" w:space="0" w:color="4F81BD"/>
            </w:tcBorders>
          </w:tcPr>
          <w:p w14:paraId="3D6FAB00"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2.3</w:t>
            </w:r>
          </w:p>
        </w:tc>
      </w:tr>
      <w:tr w:rsidR="00A34600" w:rsidRPr="00BB01C2" w14:paraId="7CE49B52" w14:textId="77777777" w:rsidTr="004C472F">
        <w:trPr>
          <w:trHeight w:val="354"/>
          <w:jc w:val="center"/>
        </w:trPr>
        <w:tc>
          <w:tcPr>
            <w:tcW w:w="2343" w:type="dxa"/>
            <w:tcBorders>
              <w:top w:val="single" w:sz="8" w:space="0" w:color="4F81BD"/>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1B16B4FA" w14:textId="77777777" w:rsidR="004C472F" w:rsidRPr="00BB01C2" w:rsidRDefault="003461B6" w:rsidP="004C472F">
            <w:pPr>
              <w:pStyle w:val="ListParagraph"/>
              <w:numPr>
                <w:ilvl w:val="0"/>
                <w:numId w:val="16"/>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Population (million)</w:t>
            </w:r>
          </w:p>
        </w:tc>
        <w:tc>
          <w:tcPr>
            <w:tcW w:w="1001" w:type="dxa"/>
            <w:tcBorders>
              <w:top w:val="single" w:sz="8" w:space="0" w:color="4F81BD"/>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51299BDC"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3.4</w:t>
            </w:r>
          </w:p>
        </w:tc>
        <w:tc>
          <w:tcPr>
            <w:tcW w:w="1085" w:type="dxa"/>
            <w:tcBorders>
              <w:top w:val="single" w:sz="8" w:space="0" w:color="4F81BD"/>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444D21A9"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5.7</w:t>
            </w:r>
          </w:p>
        </w:tc>
        <w:tc>
          <w:tcPr>
            <w:tcW w:w="2311" w:type="dxa"/>
            <w:tcBorders>
              <w:top w:val="single" w:sz="8" w:space="0" w:color="4F81BD"/>
              <w:left w:val="single" w:sz="4" w:space="0" w:color="auto"/>
              <w:bottom w:val="single" w:sz="8" w:space="0" w:color="4F81BD"/>
              <w:right w:val="single" w:sz="8" w:space="0" w:color="4F81BD"/>
            </w:tcBorders>
          </w:tcPr>
          <w:p w14:paraId="5E1128F5"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Population (million)</w:t>
            </w:r>
          </w:p>
        </w:tc>
        <w:tc>
          <w:tcPr>
            <w:tcW w:w="1149" w:type="dxa"/>
            <w:tcBorders>
              <w:top w:val="single" w:sz="8" w:space="0" w:color="4F81BD"/>
              <w:left w:val="single" w:sz="4" w:space="0" w:color="auto"/>
              <w:bottom w:val="single" w:sz="8" w:space="0" w:color="4F81BD"/>
              <w:right w:val="single" w:sz="8" w:space="0" w:color="4F81BD"/>
            </w:tcBorders>
          </w:tcPr>
          <w:p w14:paraId="535D33AB"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1.3*******</w:t>
            </w:r>
          </w:p>
        </w:tc>
        <w:tc>
          <w:tcPr>
            <w:tcW w:w="1085" w:type="dxa"/>
            <w:tcBorders>
              <w:top w:val="single" w:sz="8" w:space="0" w:color="4F81BD"/>
              <w:left w:val="single" w:sz="4" w:space="0" w:color="auto"/>
              <w:bottom w:val="single" w:sz="8" w:space="0" w:color="4F81BD"/>
              <w:right w:val="single" w:sz="8" w:space="0" w:color="4F81BD"/>
            </w:tcBorders>
          </w:tcPr>
          <w:p w14:paraId="3993F9D8"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2.1***</w:t>
            </w:r>
          </w:p>
        </w:tc>
      </w:tr>
      <w:tr w:rsidR="00A34600" w:rsidRPr="00BB01C2" w14:paraId="2AC82E3B" w14:textId="77777777" w:rsidTr="004C472F">
        <w:trPr>
          <w:trHeight w:val="354"/>
          <w:jc w:val="center"/>
        </w:trPr>
        <w:tc>
          <w:tcPr>
            <w:tcW w:w="2343" w:type="dxa"/>
            <w:tcBorders>
              <w:top w:val="single" w:sz="8" w:space="0" w:color="4F81BD"/>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6927A068" w14:textId="77777777" w:rsidR="004C472F" w:rsidRPr="00BB01C2" w:rsidRDefault="003461B6" w:rsidP="004C472F">
            <w:pPr>
              <w:pStyle w:val="ListParagraph"/>
              <w:numPr>
                <w:ilvl w:val="0"/>
                <w:numId w:val="16"/>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Population density (million people per sq km</w:t>
            </w:r>
            <w:r w:rsidRPr="00BB01C2">
              <w:rPr>
                <w:rFonts w:ascii="ShangralaW90-Regular" w:eastAsia="Times New Roman" w:hAnsi="ShangralaW90-Regular" w:cs="Arial"/>
                <w:kern w:val="24"/>
                <w:sz w:val="20"/>
                <w:szCs w:val="20"/>
                <w:vertAlign w:val="superscript"/>
              </w:rPr>
              <w:t xml:space="preserve"> </w:t>
            </w:r>
            <w:r w:rsidRPr="00BB01C2">
              <w:rPr>
                <w:rFonts w:ascii="ShangralaW90-Regular" w:eastAsia="Times New Roman" w:hAnsi="ShangralaW90-Regular" w:cs="Arial"/>
                <w:kern w:val="24"/>
                <w:sz w:val="20"/>
                <w:szCs w:val="20"/>
              </w:rPr>
              <w:t>of land area)</w:t>
            </w:r>
          </w:p>
        </w:tc>
        <w:tc>
          <w:tcPr>
            <w:tcW w:w="1001" w:type="dxa"/>
            <w:tcBorders>
              <w:top w:val="single" w:sz="8" w:space="0" w:color="4F81BD"/>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3041AD4B"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4.5******</w:t>
            </w:r>
          </w:p>
        </w:tc>
        <w:tc>
          <w:tcPr>
            <w:tcW w:w="1085" w:type="dxa"/>
            <w:tcBorders>
              <w:top w:val="single" w:sz="8" w:space="0" w:color="4F81BD"/>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62A1E538"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7.9*****</w:t>
            </w:r>
          </w:p>
        </w:tc>
        <w:tc>
          <w:tcPr>
            <w:tcW w:w="2311" w:type="dxa"/>
            <w:tcBorders>
              <w:top w:val="single" w:sz="8" w:space="0" w:color="4F81BD"/>
              <w:left w:val="single" w:sz="4" w:space="0" w:color="auto"/>
              <w:bottom w:val="single" w:sz="8" w:space="0" w:color="4F81BD"/>
              <w:right w:val="single" w:sz="8" w:space="0" w:color="4F81BD"/>
            </w:tcBorders>
          </w:tcPr>
          <w:p w14:paraId="77E3806A" w14:textId="77777777" w:rsidR="004C472F" w:rsidRPr="00BB01C2" w:rsidRDefault="003461B6" w:rsidP="004C472F">
            <w:pPr>
              <w:pStyle w:val="ListParagraph"/>
              <w:numPr>
                <w:ilvl w:val="0"/>
                <w:numId w:val="17"/>
              </w:numPr>
              <w:spacing w:after="0" w:line="240" w:lineRule="auto"/>
              <w:ind w:left="468"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Population density (people per sq km of land area)</w:t>
            </w:r>
          </w:p>
        </w:tc>
        <w:tc>
          <w:tcPr>
            <w:tcW w:w="1149" w:type="dxa"/>
            <w:tcBorders>
              <w:top w:val="single" w:sz="8" w:space="0" w:color="4F81BD"/>
              <w:left w:val="single" w:sz="4" w:space="0" w:color="auto"/>
              <w:bottom w:val="single" w:sz="8" w:space="0" w:color="4F81BD"/>
              <w:right w:val="single" w:sz="8" w:space="0" w:color="4F81BD"/>
            </w:tcBorders>
          </w:tcPr>
          <w:p w14:paraId="6DC25200"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15*******</w:t>
            </w:r>
          </w:p>
        </w:tc>
        <w:tc>
          <w:tcPr>
            <w:tcW w:w="1085" w:type="dxa"/>
            <w:tcBorders>
              <w:top w:val="single" w:sz="8" w:space="0" w:color="4F81BD"/>
              <w:left w:val="single" w:sz="4" w:space="0" w:color="auto"/>
              <w:bottom w:val="single" w:sz="8" w:space="0" w:color="4F81BD"/>
              <w:right w:val="single" w:sz="8" w:space="0" w:color="4F81BD"/>
            </w:tcBorders>
          </w:tcPr>
          <w:p w14:paraId="52D0AEA1"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252***</w:t>
            </w:r>
          </w:p>
        </w:tc>
      </w:tr>
      <w:tr w:rsidR="00A34600" w:rsidRPr="00BB01C2" w14:paraId="7ABB078F" w14:textId="77777777" w:rsidTr="004C472F">
        <w:trPr>
          <w:trHeight w:val="428"/>
          <w:jc w:val="center"/>
        </w:trPr>
        <w:tc>
          <w:tcPr>
            <w:tcW w:w="4430" w:type="dxa"/>
            <w:gridSpan w:val="3"/>
            <w:tcBorders>
              <w:top w:val="single" w:sz="8" w:space="0" w:color="4F81BD"/>
              <w:left w:val="single" w:sz="8" w:space="0" w:color="4F81BD"/>
              <w:bottom w:val="single" w:sz="8" w:space="0" w:color="4F81BD"/>
              <w:right w:val="single" w:sz="8" w:space="0" w:color="4F81BD"/>
            </w:tcBorders>
            <w:shd w:val="clear" w:color="auto" w:fill="F2F2F2" w:themeFill="background1" w:themeFillShade="F2"/>
            <w:tcMar>
              <w:top w:w="13" w:type="dxa"/>
              <w:left w:w="13" w:type="dxa"/>
              <w:bottom w:w="0" w:type="dxa"/>
              <w:right w:w="13" w:type="dxa"/>
            </w:tcMar>
          </w:tcPr>
          <w:p w14:paraId="5CA25BCF" w14:textId="77777777" w:rsidR="004C472F" w:rsidRPr="00BB01C2" w:rsidRDefault="003461B6" w:rsidP="004C472F">
            <w:pPr>
              <w:pStyle w:val="ListParagraph"/>
              <w:numPr>
                <w:ilvl w:val="0"/>
                <w:numId w:val="18"/>
              </w:numPr>
              <w:spacing w:after="0" w:line="240" w:lineRule="auto"/>
              <w:ind w:left="461"/>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b/>
                <w:bCs/>
                <w:kern w:val="24"/>
                <w:sz w:val="20"/>
                <w:szCs w:val="20"/>
              </w:rPr>
              <w:t>Johor (Malaysia)</w:t>
            </w:r>
          </w:p>
        </w:tc>
        <w:tc>
          <w:tcPr>
            <w:tcW w:w="4545" w:type="dxa"/>
            <w:gridSpan w:val="3"/>
            <w:tcBorders>
              <w:top w:val="single" w:sz="8" w:space="0" w:color="4F81BD"/>
              <w:left w:val="single" w:sz="8" w:space="0" w:color="4F81BD"/>
              <w:bottom w:val="single" w:sz="8" w:space="0" w:color="4F81BD"/>
              <w:right w:val="single" w:sz="8" w:space="0" w:color="4F81BD"/>
            </w:tcBorders>
            <w:shd w:val="clear" w:color="auto" w:fill="F2F2F2" w:themeFill="background1" w:themeFillShade="F2"/>
          </w:tcPr>
          <w:p w14:paraId="5BA8EDE3" w14:textId="77777777" w:rsidR="004C472F" w:rsidRPr="00BB01C2" w:rsidRDefault="003461B6" w:rsidP="004C472F">
            <w:pPr>
              <w:pStyle w:val="ListParagraph"/>
              <w:numPr>
                <w:ilvl w:val="0"/>
                <w:numId w:val="19"/>
              </w:numPr>
              <w:spacing w:after="0" w:line="240" w:lineRule="auto"/>
              <w:ind w:left="468"/>
              <w:textAlignment w:val="bottom"/>
              <w:rPr>
                <w:rFonts w:ascii="ShangralaW90-Regular" w:eastAsia="Times New Roman" w:hAnsi="ShangralaW90-Regular" w:cs="Arial"/>
                <w:b/>
                <w:bCs/>
                <w:kern w:val="24"/>
                <w:sz w:val="20"/>
                <w:szCs w:val="20"/>
              </w:rPr>
            </w:pPr>
            <w:r w:rsidRPr="00BB01C2">
              <w:rPr>
                <w:rFonts w:ascii="ShangralaW90-Regular" w:eastAsia="Times New Roman" w:hAnsi="ShangralaW90-Regular" w:cs="Arial"/>
                <w:b/>
                <w:bCs/>
                <w:kern w:val="24"/>
                <w:sz w:val="20"/>
                <w:szCs w:val="20"/>
              </w:rPr>
              <w:t>Riau****</w:t>
            </w:r>
          </w:p>
        </w:tc>
      </w:tr>
      <w:tr w:rsidR="00A34600" w:rsidRPr="00BB01C2" w14:paraId="31EB1757" w14:textId="77777777" w:rsidTr="004C472F">
        <w:trPr>
          <w:trHeight w:val="342"/>
          <w:jc w:val="center"/>
        </w:trPr>
        <w:tc>
          <w:tcPr>
            <w:tcW w:w="2343" w:type="dxa"/>
            <w:tcBorders>
              <w:top w:val="single" w:sz="8" w:space="0" w:color="4F81BD"/>
              <w:left w:val="single" w:sz="8" w:space="0" w:color="4F81BD"/>
              <w:bottom w:val="single" w:sz="8" w:space="0" w:color="4F81BD"/>
              <w:right w:val="single" w:sz="4" w:space="0" w:color="auto"/>
            </w:tcBorders>
            <w:shd w:val="clear" w:color="auto" w:fill="auto"/>
            <w:tcMar>
              <w:top w:w="13" w:type="dxa"/>
              <w:left w:w="13" w:type="dxa"/>
              <w:bottom w:w="0" w:type="dxa"/>
              <w:right w:w="13" w:type="dxa"/>
            </w:tcMar>
          </w:tcPr>
          <w:p w14:paraId="741E00F1" w14:textId="77777777" w:rsidR="004C472F" w:rsidRPr="00BB01C2" w:rsidRDefault="003461B6" w:rsidP="004C472F">
            <w:pPr>
              <w:pStyle w:val="ListParagraph"/>
              <w:numPr>
                <w:ilvl w:val="0"/>
                <w:numId w:val="20"/>
              </w:numPr>
              <w:spacing w:after="0" w:line="240" w:lineRule="auto"/>
              <w:ind w:left="461" w:hanging="270"/>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kern w:val="24"/>
                <w:sz w:val="20"/>
                <w:szCs w:val="20"/>
              </w:rPr>
              <w:t>GRDP (current, RM billion)</w:t>
            </w:r>
          </w:p>
        </w:tc>
        <w:tc>
          <w:tcPr>
            <w:tcW w:w="1001" w:type="dxa"/>
            <w:tcBorders>
              <w:top w:val="single" w:sz="8" w:space="0" w:color="4F81BD"/>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3E171177"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16.6</w:t>
            </w:r>
          </w:p>
        </w:tc>
        <w:tc>
          <w:tcPr>
            <w:tcW w:w="1085" w:type="dxa"/>
            <w:tcBorders>
              <w:top w:val="single" w:sz="8" w:space="0" w:color="4F81BD"/>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1605DC13"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119.8</w:t>
            </w:r>
          </w:p>
        </w:tc>
        <w:tc>
          <w:tcPr>
            <w:tcW w:w="2311" w:type="dxa"/>
            <w:tcBorders>
              <w:top w:val="single" w:sz="8" w:space="0" w:color="4F81BD"/>
              <w:left w:val="single" w:sz="4" w:space="0" w:color="auto"/>
              <w:bottom w:val="single" w:sz="8" w:space="0" w:color="4F81BD"/>
              <w:right w:val="single" w:sz="8" w:space="0" w:color="4F81BD"/>
            </w:tcBorders>
          </w:tcPr>
          <w:p w14:paraId="79D87035"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sz w:val="20"/>
                <w:szCs w:val="20"/>
              </w:rPr>
            </w:pPr>
            <w:r w:rsidRPr="00BB01C2">
              <w:rPr>
                <w:rFonts w:ascii="ShangralaW90-Regular" w:eastAsia="Times New Roman" w:hAnsi="ShangralaW90-Regular" w:cs="Arial"/>
                <w:kern w:val="24"/>
                <w:sz w:val="20"/>
                <w:szCs w:val="20"/>
              </w:rPr>
              <w:t>GRDP (current, IDR trillion)</w:t>
            </w:r>
          </w:p>
        </w:tc>
        <w:tc>
          <w:tcPr>
            <w:tcW w:w="1149" w:type="dxa"/>
            <w:tcBorders>
              <w:top w:val="single" w:sz="8" w:space="0" w:color="4F81BD"/>
              <w:left w:val="single" w:sz="4" w:space="0" w:color="auto"/>
              <w:bottom w:val="single" w:sz="8" w:space="0" w:color="4F81BD"/>
              <w:right w:val="single" w:sz="8" w:space="0" w:color="4F81BD"/>
            </w:tcBorders>
          </w:tcPr>
          <w:p w14:paraId="7F55A101"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18.2</w:t>
            </w:r>
          </w:p>
        </w:tc>
        <w:tc>
          <w:tcPr>
            <w:tcW w:w="1085" w:type="dxa"/>
            <w:tcBorders>
              <w:top w:val="single" w:sz="8" w:space="0" w:color="4F81BD"/>
              <w:left w:val="single" w:sz="4" w:space="0" w:color="auto"/>
              <w:bottom w:val="single" w:sz="8" w:space="0" w:color="4F81BD"/>
              <w:right w:val="single" w:sz="8" w:space="0" w:color="4F81BD"/>
            </w:tcBorders>
          </w:tcPr>
          <w:p w14:paraId="130E9808"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760.6</w:t>
            </w:r>
          </w:p>
        </w:tc>
      </w:tr>
      <w:tr w:rsidR="00A34600" w:rsidRPr="00BB01C2" w14:paraId="421ED490" w14:textId="77777777" w:rsidTr="004C472F">
        <w:trPr>
          <w:trHeight w:val="333"/>
          <w:jc w:val="center"/>
        </w:trPr>
        <w:tc>
          <w:tcPr>
            <w:tcW w:w="2343" w:type="dxa"/>
            <w:tcBorders>
              <w:top w:val="single" w:sz="8" w:space="0" w:color="4F81BD"/>
              <w:left w:val="single" w:sz="8" w:space="0" w:color="4F81BD"/>
              <w:bottom w:val="single" w:sz="4" w:space="0" w:color="auto"/>
              <w:right w:val="single" w:sz="4" w:space="0" w:color="auto"/>
            </w:tcBorders>
            <w:shd w:val="clear" w:color="auto" w:fill="auto"/>
            <w:tcMar>
              <w:top w:w="13" w:type="dxa"/>
              <w:left w:w="13" w:type="dxa"/>
              <w:bottom w:w="0" w:type="dxa"/>
              <w:right w:w="13" w:type="dxa"/>
            </w:tcMar>
          </w:tcPr>
          <w:p w14:paraId="22EB336F" w14:textId="77777777" w:rsidR="004C472F" w:rsidRPr="00BB01C2" w:rsidRDefault="003461B6" w:rsidP="004C472F">
            <w:pPr>
              <w:pStyle w:val="ListParagraph"/>
              <w:numPr>
                <w:ilvl w:val="0"/>
                <w:numId w:val="20"/>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Growth of GRDP (constant 2005, %)</w:t>
            </w:r>
          </w:p>
        </w:tc>
        <w:tc>
          <w:tcPr>
            <w:tcW w:w="1001" w:type="dxa"/>
            <w:tcBorders>
              <w:top w:val="single" w:sz="8" w:space="0" w:color="4F81BD"/>
              <w:left w:val="single" w:sz="4" w:space="0" w:color="auto"/>
              <w:bottom w:val="single" w:sz="4" w:space="0" w:color="auto"/>
              <w:right w:val="single" w:sz="4" w:space="0" w:color="auto"/>
            </w:tcBorders>
            <w:shd w:val="clear" w:color="auto" w:fill="auto"/>
            <w:tcMar>
              <w:top w:w="13" w:type="dxa"/>
              <w:left w:w="13" w:type="dxa"/>
              <w:bottom w:w="0" w:type="dxa"/>
              <w:right w:w="13" w:type="dxa"/>
            </w:tcMar>
          </w:tcPr>
          <w:p w14:paraId="3420E019"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9.6</w:t>
            </w:r>
          </w:p>
        </w:tc>
        <w:tc>
          <w:tcPr>
            <w:tcW w:w="1085" w:type="dxa"/>
            <w:tcBorders>
              <w:top w:val="single" w:sz="8" w:space="0" w:color="4F81BD"/>
              <w:left w:val="single" w:sz="4" w:space="0" w:color="auto"/>
              <w:bottom w:val="single" w:sz="4" w:space="0" w:color="auto"/>
              <w:right w:val="single" w:sz="4" w:space="0" w:color="auto"/>
            </w:tcBorders>
            <w:shd w:val="clear" w:color="auto" w:fill="auto"/>
            <w:tcMar>
              <w:top w:w="13" w:type="dxa"/>
              <w:left w:w="13" w:type="dxa"/>
              <w:bottom w:w="0" w:type="dxa"/>
              <w:right w:w="13" w:type="dxa"/>
            </w:tcMar>
          </w:tcPr>
          <w:p w14:paraId="6C41F074" w14:textId="77777777" w:rsidR="004C472F" w:rsidRPr="00BB01C2" w:rsidRDefault="003461B6" w:rsidP="004C472F">
            <w:pPr>
              <w:contextualSpacing/>
              <w:jc w:val="center"/>
              <w:textAlignment w:val="bottom"/>
              <w:rPr>
                <w:rFonts w:ascii="ShangralaW90-Regular" w:hAnsi="ShangralaW90-Regular" w:cs="Arial"/>
                <w:sz w:val="20"/>
                <w:szCs w:val="20"/>
              </w:rPr>
            </w:pPr>
            <w:r w:rsidRPr="00BB01C2">
              <w:rPr>
                <w:rFonts w:ascii="ShangralaW90-Regular" w:hAnsi="ShangralaW90-Regular" w:cs="Arial"/>
                <w:kern w:val="24"/>
                <w:sz w:val="20"/>
                <w:szCs w:val="20"/>
              </w:rPr>
              <w:t>6.2</w:t>
            </w:r>
          </w:p>
        </w:tc>
        <w:tc>
          <w:tcPr>
            <w:tcW w:w="2311" w:type="dxa"/>
            <w:tcBorders>
              <w:top w:val="single" w:sz="8" w:space="0" w:color="4F81BD"/>
              <w:left w:val="single" w:sz="4" w:space="0" w:color="auto"/>
              <w:bottom w:val="single" w:sz="4" w:space="0" w:color="auto"/>
              <w:right w:val="single" w:sz="8" w:space="0" w:color="4F81BD"/>
            </w:tcBorders>
          </w:tcPr>
          <w:p w14:paraId="38B27605"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Growth of GRDP (annual, constant, %)</w:t>
            </w:r>
          </w:p>
        </w:tc>
        <w:tc>
          <w:tcPr>
            <w:tcW w:w="1149" w:type="dxa"/>
            <w:tcBorders>
              <w:top w:val="single" w:sz="8" w:space="0" w:color="4F81BD"/>
              <w:left w:val="single" w:sz="4" w:space="0" w:color="auto"/>
              <w:bottom w:val="single" w:sz="4" w:space="0" w:color="auto"/>
              <w:right w:val="single" w:sz="8" w:space="0" w:color="4F81BD"/>
            </w:tcBorders>
          </w:tcPr>
          <w:p w14:paraId="31667C9A"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4.2</w:t>
            </w:r>
          </w:p>
        </w:tc>
        <w:tc>
          <w:tcPr>
            <w:tcW w:w="1085" w:type="dxa"/>
            <w:tcBorders>
              <w:top w:val="single" w:sz="8" w:space="0" w:color="4F81BD"/>
              <w:left w:val="single" w:sz="4" w:space="0" w:color="auto"/>
              <w:bottom w:val="single" w:sz="4" w:space="0" w:color="auto"/>
              <w:right w:val="single" w:sz="8" w:space="0" w:color="4F81BD"/>
            </w:tcBorders>
          </w:tcPr>
          <w:p w14:paraId="43C6F12B"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2.8</w:t>
            </w:r>
          </w:p>
        </w:tc>
      </w:tr>
      <w:tr w:rsidR="00A34600" w:rsidRPr="00BB01C2" w14:paraId="1B5BA2FA" w14:textId="77777777" w:rsidTr="004C472F">
        <w:trPr>
          <w:trHeight w:val="689"/>
          <w:jc w:val="center"/>
        </w:trPr>
        <w:tc>
          <w:tcPr>
            <w:tcW w:w="2343" w:type="dxa"/>
            <w:vMerge w:val="restart"/>
            <w:tcBorders>
              <w:top w:val="single" w:sz="4" w:space="0" w:color="auto"/>
              <w:left w:val="single" w:sz="4" w:space="0" w:color="auto"/>
              <w:right w:val="single" w:sz="4" w:space="0" w:color="auto"/>
            </w:tcBorders>
            <w:shd w:val="clear" w:color="auto" w:fill="auto"/>
            <w:tcMar>
              <w:top w:w="13" w:type="dxa"/>
              <w:left w:w="13" w:type="dxa"/>
              <w:bottom w:w="0" w:type="dxa"/>
              <w:right w:w="13" w:type="dxa"/>
            </w:tcMar>
          </w:tcPr>
          <w:p w14:paraId="33CD7F44" w14:textId="77777777" w:rsidR="004C472F" w:rsidRPr="00BB01C2" w:rsidRDefault="003461B6" w:rsidP="004C472F">
            <w:pPr>
              <w:pStyle w:val="ListParagraph"/>
              <w:numPr>
                <w:ilvl w:val="0"/>
                <w:numId w:val="20"/>
              </w:numPr>
              <w:spacing w:after="0" w:line="240" w:lineRule="auto"/>
              <w:ind w:left="461"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Share of total national GDP (%)</w:t>
            </w:r>
          </w:p>
        </w:tc>
        <w:tc>
          <w:tcPr>
            <w:tcW w:w="1001" w:type="dxa"/>
            <w:vMerge w:val="restart"/>
            <w:tcBorders>
              <w:top w:val="single" w:sz="4" w:space="0" w:color="auto"/>
              <w:left w:val="single" w:sz="4" w:space="0" w:color="auto"/>
              <w:right w:val="single" w:sz="4" w:space="0" w:color="auto"/>
            </w:tcBorders>
            <w:shd w:val="clear" w:color="auto" w:fill="auto"/>
            <w:tcMar>
              <w:top w:w="13" w:type="dxa"/>
              <w:left w:w="13" w:type="dxa"/>
              <w:bottom w:w="0" w:type="dxa"/>
              <w:right w:w="13" w:type="dxa"/>
            </w:tcMar>
          </w:tcPr>
          <w:p w14:paraId="6D981D35"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6.3</w:t>
            </w:r>
          </w:p>
        </w:tc>
        <w:tc>
          <w:tcPr>
            <w:tcW w:w="1085" w:type="dxa"/>
            <w:vMerge w:val="restart"/>
            <w:tcBorders>
              <w:top w:val="single" w:sz="4" w:space="0" w:color="auto"/>
              <w:left w:val="single" w:sz="4" w:space="0" w:color="auto"/>
              <w:right w:val="single" w:sz="4" w:space="0" w:color="auto"/>
            </w:tcBorders>
            <w:shd w:val="clear" w:color="auto" w:fill="auto"/>
            <w:tcMar>
              <w:top w:w="13" w:type="dxa"/>
              <w:left w:w="13" w:type="dxa"/>
              <w:bottom w:w="0" w:type="dxa"/>
              <w:right w:w="13" w:type="dxa"/>
            </w:tcMar>
          </w:tcPr>
          <w:p w14:paraId="7FA55B5B"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8.2</w:t>
            </w:r>
          </w:p>
        </w:tc>
        <w:tc>
          <w:tcPr>
            <w:tcW w:w="2311" w:type="dxa"/>
            <w:tcBorders>
              <w:top w:val="single" w:sz="4" w:space="0" w:color="auto"/>
              <w:left w:val="single" w:sz="4" w:space="0" w:color="auto"/>
              <w:bottom w:val="single" w:sz="4" w:space="0" w:color="auto"/>
              <w:right w:val="single" w:sz="8" w:space="0" w:color="4F81BD"/>
            </w:tcBorders>
          </w:tcPr>
          <w:p w14:paraId="05AEC1DA"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Share of total national GDP (%)</w:t>
            </w:r>
          </w:p>
        </w:tc>
        <w:tc>
          <w:tcPr>
            <w:tcW w:w="1149" w:type="dxa"/>
            <w:tcBorders>
              <w:top w:val="single" w:sz="4" w:space="0" w:color="auto"/>
              <w:left w:val="single" w:sz="4" w:space="0" w:color="auto"/>
              <w:bottom w:val="single" w:sz="4" w:space="0" w:color="auto"/>
              <w:right w:val="single" w:sz="8" w:space="0" w:color="4F81BD"/>
            </w:tcBorders>
          </w:tcPr>
          <w:p w14:paraId="1C4F6B30"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4.8</w:t>
            </w:r>
          </w:p>
        </w:tc>
        <w:tc>
          <w:tcPr>
            <w:tcW w:w="1085" w:type="dxa"/>
            <w:tcBorders>
              <w:top w:val="single" w:sz="4" w:space="0" w:color="auto"/>
              <w:left w:val="single" w:sz="4" w:space="0" w:color="auto"/>
              <w:bottom w:val="single" w:sz="4" w:space="0" w:color="auto"/>
              <w:right w:val="single" w:sz="8" w:space="0" w:color="4F81BD"/>
            </w:tcBorders>
          </w:tcPr>
          <w:p w14:paraId="2DCFE39C"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4.7</w:t>
            </w:r>
          </w:p>
        </w:tc>
      </w:tr>
      <w:tr w:rsidR="00A34600" w:rsidRPr="00BB01C2" w14:paraId="33BB295E" w14:textId="77777777" w:rsidTr="004C472F">
        <w:trPr>
          <w:trHeight w:val="934"/>
          <w:jc w:val="center"/>
        </w:trPr>
        <w:tc>
          <w:tcPr>
            <w:tcW w:w="2343" w:type="dxa"/>
            <w:vMerge/>
            <w:tcBorders>
              <w:left w:val="single" w:sz="4" w:space="0" w:color="auto"/>
              <w:right w:val="single" w:sz="4" w:space="0" w:color="auto"/>
            </w:tcBorders>
            <w:shd w:val="clear" w:color="auto" w:fill="auto"/>
            <w:tcMar>
              <w:top w:w="13" w:type="dxa"/>
              <w:left w:w="13" w:type="dxa"/>
              <w:bottom w:w="0" w:type="dxa"/>
              <w:right w:w="13" w:type="dxa"/>
            </w:tcMar>
          </w:tcPr>
          <w:p w14:paraId="2588195A" w14:textId="77777777" w:rsidR="004C472F" w:rsidRPr="00BB01C2" w:rsidRDefault="004C472F" w:rsidP="004C472F">
            <w:pPr>
              <w:pStyle w:val="ListParagraph"/>
              <w:spacing w:after="0" w:line="240" w:lineRule="auto"/>
              <w:ind w:left="461"/>
              <w:textAlignment w:val="bottom"/>
              <w:rPr>
                <w:rFonts w:ascii="ShangralaW90-Regular" w:eastAsia="Times New Roman" w:hAnsi="ShangralaW90-Regular" w:cs="Arial"/>
                <w:kern w:val="24"/>
                <w:sz w:val="20"/>
                <w:szCs w:val="20"/>
                <w:highlight w:val="green"/>
              </w:rPr>
            </w:pPr>
          </w:p>
        </w:tc>
        <w:tc>
          <w:tcPr>
            <w:tcW w:w="1001" w:type="dxa"/>
            <w:vMerge/>
            <w:tcBorders>
              <w:left w:val="single" w:sz="4" w:space="0" w:color="auto"/>
              <w:right w:val="single" w:sz="4" w:space="0" w:color="auto"/>
            </w:tcBorders>
            <w:shd w:val="clear" w:color="auto" w:fill="auto"/>
          </w:tcPr>
          <w:p w14:paraId="714164F0" w14:textId="77777777" w:rsidR="004C472F" w:rsidRPr="00BB01C2" w:rsidRDefault="004C472F" w:rsidP="004C472F">
            <w:pPr>
              <w:contextualSpacing/>
              <w:jc w:val="center"/>
              <w:textAlignment w:val="bottom"/>
              <w:rPr>
                <w:rFonts w:ascii="ShangralaW90-Regular" w:hAnsi="ShangralaW90-Regular" w:cs="Arial"/>
                <w:kern w:val="24"/>
                <w:sz w:val="20"/>
                <w:szCs w:val="20"/>
              </w:rPr>
            </w:pPr>
          </w:p>
        </w:tc>
        <w:tc>
          <w:tcPr>
            <w:tcW w:w="1085" w:type="dxa"/>
            <w:vMerge/>
            <w:tcBorders>
              <w:left w:val="single" w:sz="4" w:space="0" w:color="auto"/>
              <w:right w:val="single" w:sz="4" w:space="0" w:color="auto"/>
            </w:tcBorders>
            <w:shd w:val="clear" w:color="auto" w:fill="auto"/>
          </w:tcPr>
          <w:p w14:paraId="74CA43D2" w14:textId="77777777" w:rsidR="004C472F" w:rsidRPr="00BB01C2" w:rsidRDefault="004C472F" w:rsidP="004C472F">
            <w:pPr>
              <w:contextualSpacing/>
              <w:jc w:val="center"/>
              <w:textAlignment w:val="bottom"/>
              <w:rPr>
                <w:rFonts w:ascii="ShangralaW90-Regular" w:hAnsi="ShangralaW90-Regular" w:cs="Arial"/>
                <w:kern w:val="24"/>
                <w:sz w:val="20"/>
                <w:szCs w:val="20"/>
              </w:rPr>
            </w:pPr>
          </w:p>
        </w:tc>
        <w:tc>
          <w:tcPr>
            <w:tcW w:w="2311" w:type="dxa"/>
            <w:tcBorders>
              <w:top w:val="single" w:sz="4" w:space="0" w:color="auto"/>
              <w:left w:val="single" w:sz="4" w:space="0" w:color="auto"/>
              <w:bottom w:val="single" w:sz="4" w:space="0" w:color="auto"/>
              <w:right w:val="single" w:sz="8" w:space="0" w:color="4F81BD"/>
            </w:tcBorders>
          </w:tcPr>
          <w:p w14:paraId="0E98BA37"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GRDP per capita (current, IDR million)</w:t>
            </w:r>
          </w:p>
        </w:tc>
        <w:tc>
          <w:tcPr>
            <w:tcW w:w="1149" w:type="dxa"/>
            <w:tcBorders>
              <w:top w:val="single" w:sz="4" w:space="0" w:color="auto"/>
              <w:left w:val="single" w:sz="8" w:space="0" w:color="4F81BD"/>
              <w:bottom w:val="single" w:sz="4" w:space="0" w:color="auto"/>
              <w:right w:val="single" w:sz="8" w:space="0" w:color="4F81BD"/>
            </w:tcBorders>
          </w:tcPr>
          <w:p w14:paraId="142C8B40"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4.9</w:t>
            </w:r>
          </w:p>
        </w:tc>
        <w:tc>
          <w:tcPr>
            <w:tcW w:w="1085" w:type="dxa"/>
            <w:tcBorders>
              <w:top w:val="single" w:sz="4" w:space="0" w:color="auto"/>
              <w:left w:val="single" w:sz="8" w:space="0" w:color="4F81BD"/>
              <w:bottom w:val="single" w:sz="4" w:space="0" w:color="auto"/>
              <w:right w:val="single" w:sz="8" w:space="0" w:color="4F81BD"/>
            </w:tcBorders>
          </w:tcPr>
          <w:p w14:paraId="0BE6E3BB"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109.0</w:t>
            </w:r>
          </w:p>
        </w:tc>
      </w:tr>
      <w:tr w:rsidR="00A34600" w:rsidRPr="00BB01C2" w14:paraId="51FA0E3F" w14:textId="77777777" w:rsidTr="004C472F">
        <w:trPr>
          <w:trHeight w:val="577"/>
          <w:jc w:val="center"/>
        </w:trPr>
        <w:tc>
          <w:tcPr>
            <w:tcW w:w="2343" w:type="dxa"/>
            <w:vMerge/>
            <w:tcBorders>
              <w:left w:val="single" w:sz="4" w:space="0" w:color="auto"/>
              <w:right w:val="single" w:sz="4" w:space="0" w:color="auto"/>
            </w:tcBorders>
            <w:shd w:val="clear" w:color="auto" w:fill="auto"/>
            <w:tcMar>
              <w:top w:w="13" w:type="dxa"/>
              <w:left w:w="13" w:type="dxa"/>
              <w:bottom w:w="0" w:type="dxa"/>
              <w:right w:w="13" w:type="dxa"/>
            </w:tcMar>
          </w:tcPr>
          <w:p w14:paraId="2E2EC9F9" w14:textId="77777777" w:rsidR="004C472F" w:rsidRPr="00BB01C2" w:rsidRDefault="004C472F" w:rsidP="004C472F">
            <w:pPr>
              <w:contextualSpacing/>
              <w:textAlignment w:val="bottom"/>
              <w:rPr>
                <w:rFonts w:ascii="ShangralaW90-Regular" w:hAnsi="ShangralaW90-Regular" w:cs="Arial"/>
                <w:kern w:val="24"/>
                <w:sz w:val="20"/>
                <w:szCs w:val="20"/>
                <w:highlight w:val="green"/>
              </w:rPr>
            </w:pPr>
          </w:p>
        </w:tc>
        <w:tc>
          <w:tcPr>
            <w:tcW w:w="1001" w:type="dxa"/>
            <w:vMerge/>
            <w:tcBorders>
              <w:left w:val="single" w:sz="4" w:space="0" w:color="auto"/>
              <w:right w:val="single" w:sz="4" w:space="0" w:color="auto"/>
            </w:tcBorders>
            <w:shd w:val="clear" w:color="auto" w:fill="auto"/>
          </w:tcPr>
          <w:p w14:paraId="54073298" w14:textId="77777777" w:rsidR="004C472F" w:rsidRPr="00BB01C2" w:rsidRDefault="004C472F" w:rsidP="004C472F">
            <w:pPr>
              <w:contextualSpacing/>
              <w:jc w:val="center"/>
              <w:textAlignment w:val="bottom"/>
              <w:rPr>
                <w:rFonts w:ascii="ShangralaW90-Regular" w:hAnsi="ShangralaW90-Regular" w:cs="Arial"/>
                <w:kern w:val="24"/>
                <w:sz w:val="20"/>
                <w:szCs w:val="20"/>
              </w:rPr>
            </w:pPr>
          </w:p>
        </w:tc>
        <w:tc>
          <w:tcPr>
            <w:tcW w:w="1085" w:type="dxa"/>
            <w:vMerge/>
            <w:tcBorders>
              <w:left w:val="single" w:sz="4" w:space="0" w:color="auto"/>
              <w:right w:val="single" w:sz="4" w:space="0" w:color="auto"/>
            </w:tcBorders>
            <w:shd w:val="clear" w:color="auto" w:fill="auto"/>
          </w:tcPr>
          <w:p w14:paraId="332CC298" w14:textId="77777777" w:rsidR="004C472F" w:rsidRPr="00BB01C2" w:rsidRDefault="004C472F" w:rsidP="004C472F">
            <w:pPr>
              <w:contextualSpacing/>
              <w:jc w:val="center"/>
              <w:textAlignment w:val="bottom"/>
              <w:rPr>
                <w:rFonts w:ascii="ShangralaW90-Regular" w:hAnsi="ShangralaW90-Regular" w:cs="Arial"/>
                <w:kern w:val="24"/>
                <w:sz w:val="20"/>
                <w:szCs w:val="20"/>
              </w:rPr>
            </w:pPr>
          </w:p>
        </w:tc>
        <w:tc>
          <w:tcPr>
            <w:tcW w:w="2311" w:type="dxa"/>
            <w:tcBorders>
              <w:top w:val="single" w:sz="4" w:space="0" w:color="auto"/>
              <w:left w:val="single" w:sz="4" w:space="0" w:color="auto"/>
              <w:right w:val="single" w:sz="8" w:space="0" w:color="4F81BD"/>
            </w:tcBorders>
          </w:tcPr>
          <w:p w14:paraId="5731FEBC"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Growth of GRDP per capita (constant, %)</w:t>
            </w:r>
          </w:p>
        </w:tc>
        <w:tc>
          <w:tcPr>
            <w:tcW w:w="1149" w:type="dxa"/>
            <w:tcBorders>
              <w:top w:val="single" w:sz="4" w:space="0" w:color="auto"/>
              <w:left w:val="single" w:sz="8" w:space="0" w:color="4F81BD"/>
              <w:right w:val="single" w:sz="8" w:space="0" w:color="4F81BD"/>
            </w:tcBorders>
          </w:tcPr>
          <w:p w14:paraId="34065102"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0.7</w:t>
            </w:r>
          </w:p>
        </w:tc>
        <w:tc>
          <w:tcPr>
            <w:tcW w:w="1085" w:type="dxa"/>
            <w:tcBorders>
              <w:top w:val="single" w:sz="4" w:space="0" w:color="auto"/>
              <w:left w:val="single" w:sz="8" w:space="0" w:color="4F81BD"/>
              <w:right w:val="single" w:sz="8" w:space="0" w:color="4F81BD"/>
            </w:tcBorders>
          </w:tcPr>
          <w:p w14:paraId="715E83FA"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0.5</w:t>
            </w:r>
          </w:p>
        </w:tc>
      </w:tr>
      <w:tr w:rsidR="00A34600" w:rsidRPr="00BB01C2" w14:paraId="4861CC10" w14:textId="77777777" w:rsidTr="004C472F">
        <w:trPr>
          <w:trHeight w:val="402"/>
          <w:jc w:val="center"/>
        </w:trPr>
        <w:tc>
          <w:tcPr>
            <w:tcW w:w="2343" w:type="dxa"/>
            <w:vMerge/>
            <w:tcBorders>
              <w:left w:val="single" w:sz="4" w:space="0" w:color="auto"/>
              <w:right w:val="single" w:sz="4" w:space="0" w:color="auto"/>
            </w:tcBorders>
            <w:shd w:val="clear" w:color="auto" w:fill="auto"/>
            <w:tcMar>
              <w:top w:w="13" w:type="dxa"/>
              <w:left w:w="13" w:type="dxa"/>
              <w:bottom w:w="0" w:type="dxa"/>
              <w:right w:w="13" w:type="dxa"/>
            </w:tcMar>
          </w:tcPr>
          <w:p w14:paraId="01016D9E" w14:textId="77777777" w:rsidR="004C472F" w:rsidRPr="00BB01C2" w:rsidRDefault="004C472F" w:rsidP="004C472F">
            <w:pPr>
              <w:contextualSpacing/>
              <w:textAlignment w:val="bottom"/>
              <w:rPr>
                <w:rFonts w:ascii="ShangralaW90-Regular" w:hAnsi="ShangralaW90-Regular" w:cs="Arial"/>
                <w:sz w:val="20"/>
                <w:szCs w:val="20"/>
              </w:rPr>
            </w:pPr>
          </w:p>
        </w:tc>
        <w:tc>
          <w:tcPr>
            <w:tcW w:w="1001" w:type="dxa"/>
            <w:vMerge/>
            <w:tcBorders>
              <w:left w:val="single" w:sz="4" w:space="0" w:color="auto"/>
              <w:right w:val="single" w:sz="4" w:space="0" w:color="auto"/>
            </w:tcBorders>
            <w:shd w:val="clear" w:color="auto" w:fill="auto"/>
            <w:tcMar>
              <w:top w:w="13" w:type="dxa"/>
              <w:left w:w="13" w:type="dxa"/>
              <w:bottom w:w="0" w:type="dxa"/>
              <w:right w:w="13" w:type="dxa"/>
            </w:tcMar>
          </w:tcPr>
          <w:p w14:paraId="2ED6FB00" w14:textId="77777777" w:rsidR="004C472F" w:rsidRPr="00BB01C2" w:rsidRDefault="004C472F" w:rsidP="004C472F">
            <w:pPr>
              <w:contextualSpacing/>
              <w:jc w:val="right"/>
              <w:textAlignment w:val="bottom"/>
              <w:rPr>
                <w:rFonts w:ascii="ShangralaW90-Regular" w:hAnsi="ShangralaW90-Regular" w:cs="Arial"/>
                <w:kern w:val="24"/>
                <w:sz w:val="20"/>
                <w:szCs w:val="20"/>
              </w:rPr>
            </w:pPr>
          </w:p>
        </w:tc>
        <w:tc>
          <w:tcPr>
            <w:tcW w:w="1085" w:type="dxa"/>
            <w:vMerge/>
            <w:tcBorders>
              <w:left w:val="single" w:sz="4" w:space="0" w:color="auto"/>
              <w:right w:val="single" w:sz="4" w:space="0" w:color="auto"/>
            </w:tcBorders>
            <w:shd w:val="clear" w:color="auto" w:fill="auto"/>
            <w:tcMar>
              <w:top w:w="13" w:type="dxa"/>
              <w:left w:w="13" w:type="dxa"/>
              <w:bottom w:w="0" w:type="dxa"/>
              <w:right w:w="13" w:type="dxa"/>
            </w:tcMar>
          </w:tcPr>
          <w:p w14:paraId="0867F61D" w14:textId="77777777" w:rsidR="004C472F" w:rsidRPr="00BB01C2" w:rsidRDefault="004C472F" w:rsidP="004C472F">
            <w:pPr>
              <w:contextualSpacing/>
              <w:jc w:val="right"/>
              <w:textAlignment w:val="bottom"/>
              <w:rPr>
                <w:rFonts w:ascii="ShangralaW90-Regular" w:hAnsi="ShangralaW90-Regular" w:cs="Arial"/>
                <w:kern w:val="24"/>
                <w:sz w:val="20"/>
                <w:szCs w:val="20"/>
              </w:rPr>
            </w:pPr>
          </w:p>
        </w:tc>
        <w:tc>
          <w:tcPr>
            <w:tcW w:w="2311" w:type="dxa"/>
            <w:tcBorders>
              <w:top w:val="single" w:sz="8" w:space="0" w:color="4F81BD"/>
              <w:left w:val="single" w:sz="4" w:space="0" w:color="auto"/>
              <w:bottom w:val="single" w:sz="8" w:space="0" w:color="4F81BD"/>
              <w:right w:val="single" w:sz="8" w:space="0" w:color="4F81BD"/>
            </w:tcBorders>
          </w:tcPr>
          <w:p w14:paraId="17595D9D"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Population (million)</w:t>
            </w:r>
          </w:p>
        </w:tc>
        <w:tc>
          <w:tcPr>
            <w:tcW w:w="1149" w:type="dxa"/>
            <w:tcBorders>
              <w:top w:val="single" w:sz="8" w:space="0" w:color="4F81BD"/>
              <w:left w:val="single" w:sz="4" w:space="0" w:color="auto"/>
              <w:bottom w:val="single" w:sz="8" w:space="0" w:color="4F81BD"/>
              <w:right w:val="single" w:sz="8" w:space="0" w:color="4F81BD"/>
            </w:tcBorders>
          </w:tcPr>
          <w:p w14:paraId="5A690C2A"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3.8</w:t>
            </w:r>
          </w:p>
        </w:tc>
        <w:tc>
          <w:tcPr>
            <w:tcW w:w="1085" w:type="dxa"/>
            <w:tcBorders>
              <w:top w:val="single" w:sz="8" w:space="0" w:color="4F81BD"/>
              <w:left w:val="single" w:sz="4" w:space="0" w:color="auto"/>
              <w:bottom w:val="single" w:sz="8" w:space="0" w:color="4F81BD"/>
              <w:right w:val="single" w:sz="8" w:space="0" w:color="4F81BD"/>
            </w:tcBorders>
          </w:tcPr>
          <w:p w14:paraId="0B048B54"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6.4***</w:t>
            </w:r>
          </w:p>
        </w:tc>
      </w:tr>
      <w:tr w:rsidR="00A34600" w:rsidRPr="00BB01C2" w14:paraId="3A0CBD08" w14:textId="77777777" w:rsidTr="004C472F">
        <w:trPr>
          <w:trHeight w:val="255"/>
          <w:jc w:val="center"/>
        </w:trPr>
        <w:tc>
          <w:tcPr>
            <w:tcW w:w="2343" w:type="dxa"/>
            <w:vMerge/>
            <w:tcBorders>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6ADE64A4" w14:textId="77777777" w:rsidR="004C472F" w:rsidRPr="00BB01C2" w:rsidRDefault="004C472F" w:rsidP="004C472F">
            <w:pPr>
              <w:contextualSpacing/>
              <w:textAlignment w:val="bottom"/>
              <w:rPr>
                <w:rFonts w:ascii="ShangralaW90-Regular" w:hAnsi="ShangralaW90-Regular" w:cs="Arial"/>
                <w:sz w:val="20"/>
                <w:szCs w:val="20"/>
              </w:rPr>
            </w:pPr>
          </w:p>
        </w:tc>
        <w:tc>
          <w:tcPr>
            <w:tcW w:w="1001" w:type="dxa"/>
            <w:tcBorders>
              <w:left w:val="single" w:sz="4" w:space="0" w:color="auto"/>
              <w:bottom w:val="single" w:sz="8" w:space="0" w:color="4F81BD"/>
              <w:right w:val="single" w:sz="4" w:space="0" w:color="auto"/>
            </w:tcBorders>
            <w:shd w:val="clear" w:color="auto" w:fill="auto"/>
            <w:tcMar>
              <w:top w:w="13" w:type="dxa"/>
              <w:left w:w="13" w:type="dxa"/>
              <w:bottom w:w="0" w:type="dxa"/>
              <w:right w:w="13" w:type="dxa"/>
            </w:tcMar>
          </w:tcPr>
          <w:p w14:paraId="70C7D7D1" w14:textId="77777777" w:rsidR="004C472F" w:rsidRPr="00BB01C2" w:rsidRDefault="004C472F" w:rsidP="004C472F">
            <w:pPr>
              <w:contextualSpacing/>
              <w:jc w:val="right"/>
              <w:textAlignment w:val="bottom"/>
              <w:rPr>
                <w:rFonts w:ascii="ShangralaW90-Regular" w:hAnsi="ShangralaW90-Regular" w:cs="Arial"/>
                <w:kern w:val="24"/>
                <w:sz w:val="20"/>
                <w:szCs w:val="20"/>
              </w:rPr>
            </w:pPr>
          </w:p>
        </w:tc>
        <w:tc>
          <w:tcPr>
            <w:tcW w:w="1085" w:type="dxa"/>
            <w:tcBorders>
              <w:left w:val="single" w:sz="4" w:space="0" w:color="auto"/>
              <w:bottom w:val="single" w:sz="8" w:space="0" w:color="4F81BD"/>
              <w:right w:val="single" w:sz="8" w:space="0" w:color="4F81BD"/>
            </w:tcBorders>
            <w:shd w:val="clear" w:color="auto" w:fill="auto"/>
            <w:tcMar>
              <w:top w:w="13" w:type="dxa"/>
              <w:left w:w="13" w:type="dxa"/>
              <w:bottom w:w="0" w:type="dxa"/>
              <w:right w:w="13" w:type="dxa"/>
            </w:tcMar>
          </w:tcPr>
          <w:p w14:paraId="3DAF7106" w14:textId="77777777" w:rsidR="004C472F" w:rsidRPr="00BB01C2" w:rsidRDefault="004C472F" w:rsidP="004C472F">
            <w:pPr>
              <w:contextualSpacing/>
              <w:jc w:val="right"/>
              <w:textAlignment w:val="bottom"/>
              <w:rPr>
                <w:rFonts w:ascii="ShangralaW90-Regular" w:hAnsi="ShangralaW90-Regular" w:cs="Arial"/>
                <w:kern w:val="24"/>
                <w:sz w:val="20"/>
                <w:szCs w:val="20"/>
              </w:rPr>
            </w:pPr>
          </w:p>
        </w:tc>
        <w:tc>
          <w:tcPr>
            <w:tcW w:w="2311" w:type="dxa"/>
            <w:tcBorders>
              <w:top w:val="single" w:sz="8" w:space="0" w:color="4F81BD"/>
              <w:left w:val="single" w:sz="4" w:space="0" w:color="auto"/>
              <w:bottom w:val="single" w:sz="8" w:space="0" w:color="4F81BD"/>
              <w:right w:val="single" w:sz="8" w:space="0" w:color="4F81BD"/>
            </w:tcBorders>
          </w:tcPr>
          <w:p w14:paraId="0E8FD603" w14:textId="77777777" w:rsidR="004C472F" w:rsidRPr="00BB01C2" w:rsidRDefault="003461B6" w:rsidP="004C472F">
            <w:pPr>
              <w:pStyle w:val="ListParagraph"/>
              <w:numPr>
                <w:ilvl w:val="0"/>
                <w:numId w:val="21"/>
              </w:numPr>
              <w:spacing w:after="0" w:line="240" w:lineRule="auto"/>
              <w:ind w:left="450" w:hanging="270"/>
              <w:textAlignment w:val="bottom"/>
              <w:rPr>
                <w:rFonts w:ascii="ShangralaW90-Regular" w:eastAsia="Times New Roman" w:hAnsi="ShangralaW90-Regular" w:cs="Arial"/>
                <w:kern w:val="24"/>
                <w:sz w:val="20"/>
                <w:szCs w:val="20"/>
              </w:rPr>
            </w:pPr>
            <w:r w:rsidRPr="00BB01C2">
              <w:rPr>
                <w:rFonts w:ascii="ShangralaW90-Regular" w:eastAsia="Times New Roman" w:hAnsi="ShangralaW90-Regular" w:cs="Arial"/>
                <w:kern w:val="24"/>
                <w:sz w:val="20"/>
                <w:szCs w:val="20"/>
              </w:rPr>
              <w:t>Population density (people per sq km of land area)</w:t>
            </w:r>
          </w:p>
        </w:tc>
        <w:tc>
          <w:tcPr>
            <w:tcW w:w="1149" w:type="dxa"/>
            <w:tcBorders>
              <w:top w:val="single" w:sz="8" w:space="0" w:color="4F81BD"/>
              <w:left w:val="single" w:sz="4" w:space="0" w:color="auto"/>
              <w:bottom w:val="single" w:sz="8" w:space="0" w:color="4F81BD"/>
              <w:right w:val="single" w:sz="8" w:space="0" w:color="4F81BD"/>
            </w:tcBorders>
          </w:tcPr>
          <w:p w14:paraId="3F11FAF8"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35******</w:t>
            </w:r>
          </w:p>
        </w:tc>
        <w:tc>
          <w:tcPr>
            <w:tcW w:w="1085" w:type="dxa"/>
            <w:tcBorders>
              <w:top w:val="single" w:sz="8" w:space="0" w:color="4F81BD"/>
              <w:left w:val="single" w:sz="4" w:space="0" w:color="auto"/>
              <w:bottom w:val="single" w:sz="8" w:space="0" w:color="4F81BD"/>
              <w:right w:val="single" w:sz="8" w:space="0" w:color="4F81BD"/>
            </w:tcBorders>
          </w:tcPr>
          <w:p w14:paraId="2FD5D9AE" w14:textId="77777777" w:rsidR="004C472F" w:rsidRPr="00BB01C2" w:rsidRDefault="003461B6" w:rsidP="004C472F">
            <w:pPr>
              <w:contextualSpacing/>
              <w:jc w:val="center"/>
              <w:textAlignment w:val="bottom"/>
              <w:rPr>
                <w:rFonts w:ascii="ShangralaW90-Regular" w:hAnsi="ShangralaW90-Regular" w:cs="Arial"/>
                <w:kern w:val="24"/>
                <w:sz w:val="20"/>
                <w:szCs w:val="20"/>
              </w:rPr>
            </w:pPr>
            <w:r w:rsidRPr="00BB01C2">
              <w:rPr>
                <w:rFonts w:ascii="ShangralaW90-Regular" w:hAnsi="ShangralaW90-Regular" w:cs="Arial"/>
                <w:kern w:val="24"/>
                <w:sz w:val="20"/>
                <w:szCs w:val="20"/>
              </w:rPr>
              <w:t>73***</w:t>
            </w:r>
          </w:p>
        </w:tc>
      </w:tr>
    </w:tbl>
    <w:p w14:paraId="15BCA710" w14:textId="77777777" w:rsidR="004C472F" w:rsidRDefault="004C472F" w:rsidP="004C472F">
      <w:pPr>
        <w:pStyle w:val="Body"/>
        <w:jc w:val="center"/>
        <w:rPr>
          <w:rFonts w:ascii="ShangralaW90-Regular" w:eastAsia="Cambria" w:hAnsi="ShangralaW90-Regular" w:cs="Cambria"/>
          <w:u w:color="FF0000"/>
        </w:rPr>
      </w:pPr>
    </w:p>
    <w:p w14:paraId="0161CB69" w14:textId="77777777" w:rsidR="004C472F" w:rsidRPr="004C472F" w:rsidRDefault="003461B6" w:rsidP="004C472F">
      <w:pPr>
        <w:pStyle w:val="Body"/>
        <w:jc w:val="both"/>
        <w:rPr>
          <w:rFonts w:ascii="ShangralaW90-Regular" w:eastAsia="Cambria" w:hAnsi="ShangralaW90-Regular" w:cs="Cambria"/>
          <w:u w:color="FF0000"/>
        </w:rPr>
      </w:pPr>
      <w:r w:rsidRPr="004C472F">
        <w:rPr>
          <w:rFonts w:ascii="ShangralaW90-Regular" w:eastAsia="Cambria" w:hAnsi="ShangralaW90-Regular" w:cs="Cambria"/>
          <w:u w:color="FF0000"/>
        </w:rPr>
        <w:t>*Data in 2003; **data in 2004; ***data in 2020; ****</w:t>
      </w:r>
      <w:r w:rsidRPr="00C263CC">
        <w:rPr>
          <w:rFonts w:ascii="ShangralaW90-Regular" w:eastAsia="Cambria" w:hAnsi="ShangralaW90-Regular" w:cs="Cambria"/>
          <w:highlight w:val="green"/>
          <w:u w:color="FF0000"/>
        </w:rPr>
        <w:t>Author</w:t>
      </w:r>
      <w:r w:rsidR="00C263CC" w:rsidRPr="00C263CC">
        <w:rPr>
          <w:rFonts w:ascii="ShangralaW90-Regular" w:eastAsia="Cambria" w:hAnsi="ShangralaW90-Regular" w:cs="Cambria"/>
          <w:highlight w:val="green"/>
          <w:u w:color="FF0000"/>
        </w:rPr>
        <w:t>s</w:t>
      </w:r>
      <w:r w:rsidRPr="004C472F">
        <w:rPr>
          <w:rFonts w:ascii="ShangralaW90-Regular" w:eastAsia="Cambria" w:hAnsi="ShangralaW90-Regular" w:cs="Cambria"/>
          <w:u w:color="FF0000"/>
        </w:rPr>
        <w:t xml:space="preserve"> included Riau’s data because Riau Islands was part of Riau Province in the period of formalization of Sijori-GT cooperation in 1994; ***** data in 2018; ******data in 1990; *******data in 2005</w:t>
      </w:r>
      <w:r w:rsidR="00C263CC">
        <w:rPr>
          <w:rFonts w:ascii="ShangralaW90-Regular" w:eastAsia="Cambria" w:hAnsi="ShangralaW90-Regular" w:cs="Cambria"/>
          <w:u w:color="FF0000"/>
        </w:rPr>
        <w:t>.</w:t>
      </w:r>
    </w:p>
    <w:p w14:paraId="1FC53045" w14:textId="77777777" w:rsidR="004C472F" w:rsidRDefault="003461B6" w:rsidP="004C472F">
      <w:pPr>
        <w:pStyle w:val="Body"/>
        <w:jc w:val="both"/>
        <w:rPr>
          <w:rFonts w:ascii="ShangralaW90-Regular" w:eastAsia="Cambria" w:hAnsi="ShangralaW90-Regular" w:cs="Cambria"/>
          <w:u w:color="FF0000"/>
        </w:rPr>
      </w:pPr>
      <w:r w:rsidRPr="004C472F">
        <w:rPr>
          <w:rFonts w:ascii="ShangralaW90-Regular" w:eastAsia="Cambria" w:hAnsi="ShangralaW90-Regular" w:cs="Cambria"/>
          <w:u w:color="FF0000"/>
        </w:rPr>
        <w:t>Source :</w:t>
      </w:r>
      <w:r w:rsidR="00CD3286">
        <w:rPr>
          <w:rFonts w:ascii="ShangralaW90-Regular" w:eastAsia="Cambria" w:hAnsi="ShangralaW90-Regular" w:cs="Cambria"/>
          <w:u w:color="FF0000"/>
        </w:rPr>
        <w:t xml:space="preserve"> </w:t>
      </w:r>
      <w:r w:rsidR="00080395" w:rsidRPr="00080395">
        <w:rPr>
          <w:rFonts w:ascii="ShangralaW90-Regular" w:eastAsia="Cambria" w:hAnsi="ShangralaW90-Regular" w:cs="Cambria"/>
          <w:highlight w:val="green"/>
          <w:u w:color="FF0000"/>
        </w:rPr>
        <w:t>Authors</w:t>
      </w:r>
      <w:r w:rsidR="00900A1C">
        <w:rPr>
          <w:rFonts w:ascii="ShangralaW90-Regular" w:eastAsia="Cambria" w:hAnsi="ShangralaW90-Regular" w:cs="Cambria"/>
          <w:highlight w:val="green"/>
          <w:u w:color="FF0000"/>
        </w:rPr>
        <w:t>’ compilation</w:t>
      </w:r>
      <w:r w:rsidR="00080395" w:rsidRPr="00080395">
        <w:rPr>
          <w:rFonts w:ascii="ShangralaW90-Regular" w:eastAsia="Cambria" w:hAnsi="ShangralaW90-Regular" w:cs="Cambria"/>
          <w:highlight w:val="green"/>
          <w:u w:color="FF0000"/>
        </w:rPr>
        <w:t>, based on</w:t>
      </w:r>
      <w:r w:rsidRPr="004C472F">
        <w:rPr>
          <w:rFonts w:ascii="ShangralaW90-Regular" w:eastAsia="Cambria" w:hAnsi="ShangralaW90-Regular" w:cs="Cambria"/>
          <w:u w:color="FF0000"/>
        </w:rPr>
        <w:t xml:space="preserve"> Xiaodong (2019), WorldBank (n.d.), (BPS, 1990, 1991, 1992, 1996, 2007, 2021; BPSRiauIslands, 2004, 2021)</w:t>
      </w:r>
      <w:r w:rsidR="00080395">
        <w:rPr>
          <w:rFonts w:ascii="ShangralaW90-Regular" w:eastAsia="Cambria" w:hAnsi="ShangralaW90-Regular" w:cs="Cambria"/>
          <w:u w:color="FF0000"/>
        </w:rPr>
        <w:t>.</w:t>
      </w:r>
    </w:p>
    <w:p w14:paraId="38BFAFCF" w14:textId="77777777" w:rsidR="004C472F" w:rsidRPr="006079D5" w:rsidRDefault="004C472F" w:rsidP="004C472F">
      <w:pPr>
        <w:pStyle w:val="Body"/>
        <w:rPr>
          <w:rFonts w:ascii="ShangralaW90-Regular" w:eastAsia="Cambria" w:hAnsi="ShangralaW90-Regular" w:cs="Cambria"/>
          <w:u w:color="FF0000"/>
        </w:rPr>
      </w:pPr>
    </w:p>
    <w:p w14:paraId="2CC87D6E" w14:textId="77777777" w:rsidR="006079D5" w:rsidRPr="006079D5" w:rsidRDefault="003461B6" w:rsidP="006079D5">
      <w:pPr>
        <w:pStyle w:val="Body"/>
        <w:spacing w:after="120"/>
        <w:jc w:val="both"/>
        <w:rPr>
          <w:rFonts w:ascii="Lato" w:eastAsia="Cambria" w:hAnsi="Lato" w:cs="Cambria"/>
          <w:b/>
          <w:color w:val="1F4E79" w:themeColor="accent5" w:themeShade="80"/>
          <w:sz w:val="24"/>
          <w:szCs w:val="24"/>
          <w:u w:color="FF0000"/>
        </w:rPr>
      </w:pPr>
      <w:r>
        <w:rPr>
          <w:rFonts w:ascii="Lato" w:eastAsia="Cambria" w:hAnsi="Lato" w:cs="Cambria"/>
          <w:b/>
          <w:color w:val="1F4E79" w:themeColor="accent5" w:themeShade="80"/>
          <w:sz w:val="24"/>
          <w:szCs w:val="24"/>
          <w:u w:color="FF0000"/>
        </w:rPr>
        <w:t>Methods</w:t>
      </w:r>
    </w:p>
    <w:p w14:paraId="2280A7A6" w14:textId="065C38DC" w:rsidR="006079D5" w:rsidRDefault="003461B6" w:rsidP="00C356D1">
      <w:pPr>
        <w:pStyle w:val="Body"/>
        <w:ind w:firstLine="540"/>
        <w:jc w:val="both"/>
        <w:rPr>
          <w:rFonts w:ascii="ShangralaW90-Regular" w:eastAsia="Cambria" w:hAnsi="ShangralaW90-Regular" w:cs="Cambria"/>
          <w:u w:color="FF0000"/>
        </w:rPr>
      </w:pPr>
      <w:r w:rsidRPr="004C472F">
        <w:rPr>
          <w:rFonts w:ascii="ShangralaW90-Regular" w:eastAsia="Cambria" w:hAnsi="ShangralaW90-Regular" w:cs="Cambria"/>
          <w:u w:color="FF0000"/>
        </w:rPr>
        <w:t>This paper has the aim to investigate Singapore’s and Malaysia’s FDI commitments and specializations in Indonesia's Riau Islands under Sijori</w:t>
      </w:r>
      <w:r w:rsidRPr="005D0AB1">
        <w:rPr>
          <w:rFonts w:ascii="ShangralaW90-Regular" w:eastAsia="Cambria" w:hAnsi="ShangralaW90-Regular" w:cs="Cambria"/>
          <w:highlight w:val="green"/>
          <w:u w:color="FF0000"/>
        </w:rPr>
        <w:t>-GT economic cooperation.  Author</w:t>
      </w:r>
      <w:r w:rsidR="00C263CC" w:rsidRPr="005D0AB1">
        <w:rPr>
          <w:rFonts w:ascii="ShangralaW90-Regular" w:eastAsia="Cambria" w:hAnsi="ShangralaW90-Regular" w:cs="Cambria"/>
          <w:highlight w:val="green"/>
          <w:u w:color="FF0000"/>
        </w:rPr>
        <w:t>s</w:t>
      </w:r>
      <w:r w:rsidRPr="005D0AB1">
        <w:rPr>
          <w:rFonts w:ascii="ShangralaW90-Regular" w:eastAsia="Cambria" w:hAnsi="ShangralaW90-Regular" w:cs="Cambria"/>
          <w:highlight w:val="green"/>
          <w:u w:color="FF0000"/>
        </w:rPr>
        <w:t xml:space="preserve"> initially</w:t>
      </w:r>
      <w:r w:rsidRPr="004C472F">
        <w:rPr>
          <w:rFonts w:ascii="ShangralaW90-Regular" w:eastAsia="Cambria" w:hAnsi="ShangralaW90-Regular" w:cs="Cambria"/>
          <w:u w:color="FF0000"/>
        </w:rPr>
        <w:t xml:space="preserve"> presented the data in line charts to demonstrate and describe annual patterns of FDI variables. In this </w:t>
      </w:r>
      <w:r w:rsidRPr="004C472F">
        <w:rPr>
          <w:rFonts w:ascii="ShangralaW90-Regular" w:eastAsia="Cambria" w:hAnsi="ShangralaW90-Regular" w:cs="Cambria"/>
          <w:u w:color="FF0000"/>
        </w:rPr>
        <w:lastRenderedPageBreak/>
        <w:t xml:space="preserve">study, </w:t>
      </w:r>
      <w:r w:rsidRPr="00C263CC">
        <w:rPr>
          <w:rFonts w:ascii="ShangralaW90-Regular" w:eastAsia="Cambria" w:hAnsi="ShangralaW90-Regular" w:cs="Cambria"/>
          <w:highlight w:val="green"/>
          <w:u w:color="FF0000"/>
        </w:rPr>
        <w:t>author</w:t>
      </w:r>
      <w:r w:rsidR="00C263CC" w:rsidRPr="00C263CC">
        <w:rPr>
          <w:rFonts w:ascii="ShangralaW90-Regular" w:eastAsia="Cambria" w:hAnsi="ShangralaW90-Regular" w:cs="Cambria"/>
          <w:highlight w:val="green"/>
          <w:u w:color="FF0000"/>
        </w:rPr>
        <w:t>s</w:t>
      </w:r>
      <w:r w:rsidRPr="004C472F">
        <w:rPr>
          <w:rFonts w:ascii="ShangralaW90-Regular" w:eastAsia="Cambria" w:hAnsi="ShangralaW90-Regular" w:cs="Cambria"/>
          <w:u w:color="FF0000"/>
        </w:rPr>
        <w:t xml:space="preserve"> conducted hypothesis testing. </w:t>
      </w:r>
      <w:r w:rsidRPr="00A50F63">
        <w:rPr>
          <w:rFonts w:ascii="ShangralaW90-Regular" w:eastAsia="Cambria" w:hAnsi="ShangralaW90-Regular" w:cs="Cambria"/>
          <w:highlight w:val="green"/>
          <w:u w:color="FF0000"/>
        </w:rPr>
        <w:t xml:space="preserve">The procedures of the hypothesis testing </w:t>
      </w:r>
      <w:proofErr w:type="gramStart"/>
      <w:r w:rsidRPr="00A50F63">
        <w:rPr>
          <w:rFonts w:ascii="ShangralaW90-Regular" w:eastAsia="Cambria" w:hAnsi="ShangralaW90-Regular" w:cs="Cambria"/>
          <w:highlight w:val="green"/>
          <w:u w:color="FF0000"/>
        </w:rPr>
        <w:t>vari</w:t>
      </w:r>
      <w:r w:rsidR="00621F9F" w:rsidRPr="00A50F63">
        <w:rPr>
          <w:rFonts w:ascii="ShangralaW90-Regular" w:eastAsia="Cambria" w:hAnsi="ShangralaW90-Regular" w:cs="Cambria"/>
          <w:highlight w:val="green"/>
          <w:u w:color="FF0000"/>
        </w:rPr>
        <w:t>es</w:t>
      </w:r>
      <w:proofErr w:type="gramEnd"/>
      <w:r w:rsidRPr="00A50F63">
        <w:rPr>
          <w:rFonts w:ascii="ShangralaW90-Regular" w:eastAsia="Cambria" w:hAnsi="ShangralaW90-Regular" w:cs="Cambria"/>
          <w:highlight w:val="green"/>
          <w:u w:color="FF0000"/>
        </w:rPr>
        <w:t xml:space="preserve"> (Lind et al 2018</w:t>
      </w:r>
      <w:r w:rsidR="00621F9F" w:rsidRPr="00A50F63">
        <w:rPr>
          <w:rFonts w:ascii="ShangralaW90-Regular" w:eastAsia="Cambria" w:hAnsi="ShangralaW90-Regular" w:cs="Cambria"/>
          <w:highlight w:val="green"/>
          <w:u w:color="FF0000"/>
        </w:rPr>
        <w:t xml:space="preserve">; </w:t>
      </w:r>
      <w:proofErr w:type="spellStart"/>
      <w:r w:rsidRPr="00A50F63">
        <w:rPr>
          <w:rFonts w:ascii="ShangralaW90-Regular" w:eastAsia="Cambria" w:hAnsi="ShangralaW90-Regular" w:cs="Cambria"/>
          <w:highlight w:val="green"/>
          <w:u w:color="FF0000"/>
        </w:rPr>
        <w:t>Cleff</w:t>
      </w:r>
      <w:proofErr w:type="spellEnd"/>
      <w:r w:rsidRPr="00A50F63">
        <w:rPr>
          <w:rFonts w:ascii="ShangralaW90-Regular" w:eastAsia="Cambria" w:hAnsi="ShangralaW90-Regular" w:cs="Cambria"/>
          <w:highlight w:val="green"/>
          <w:u w:color="FF0000"/>
        </w:rPr>
        <w:t>, 2019).</w:t>
      </w:r>
      <w:r w:rsidRPr="004C472F">
        <w:rPr>
          <w:rFonts w:ascii="ShangralaW90-Regular" w:eastAsia="Cambria" w:hAnsi="ShangralaW90-Regular" w:cs="Cambria"/>
          <w:u w:color="FF0000"/>
        </w:rPr>
        <w:t xml:space="preserve"> The </w:t>
      </w:r>
      <w:r w:rsidRPr="00C263CC">
        <w:rPr>
          <w:rFonts w:ascii="ShangralaW90-Regular" w:eastAsia="Cambria" w:hAnsi="ShangralaW90-Regular" w:cs="Cambria"/>
          <w:highlight w:val="green"/>
          <w:u w:color="FF0000"/>
        </w:rPr>
        <w:t>author</w:t>
      </w:r>
      <w:r w:rsidR="00C263CC" w:rsidRPr="00C263CC">
        <w:rPr>
          <w:rFonts w:ascii="ShangralaW90-Regular" w:eastAsia="Cambria" w:hAnsi="ShangralaW90-Regular" w:cs="Cambria"/>
          <w:highlight w:val="green"/>
          <w:u w:color="FF0000"/>
        </w:rPr>
        <w:t>s</w:t>
      </w:r>
      <w:r w:rsidRPr="004C472F">
        <w:rPr>
          <w:rFonts w:ascii="ShangralaW90-Regular" w:eastAsia="Cambria" w:hAnsi="ShangralaW90-Regular" w:cs="Cambria"/>
          <w:u w:color="FF0000"/>
        </w:rPr>
        <w:t xml:space="preserve"> then adjusted the steps, as follows: stating the null and alternate hypotheses, collecting data, selecting a level of significance, identifying the test statistic, formulating a decision rule, making a decision, and interpreting the results. The first step was to state the </w:t>
      </w:r>
      <w:r w:rsidRPr="00C263CC">
        <w:rPr>
          <w:rFonts w:ascii="ShangralaW90-Regular" w:eastAsia="Cambria" w:hAnsi="ShangralaW90-Regular" w:cs="Cambria"/>
          <w:highlight w:val="green"/>
          <w:u w:color="FF0000"/>
        </w:rPr>
        <w:t>H</w:t>
      </w:r>
      <w:r w:rsidRPr="00C263CC">
        <w:rPr>
          <w:rFonts w:ascii="ShangralaW90-Regular" w:eastAsia="Cambria" w:hAnsi="ShangralaW90-Regular" w:cs="Cambria"/>
          <w:highlight w:val="green"/>
          <w:u w:color="FF0000"/>
          <w:vertAlign w:val="subscript"/>
        </w:rPr>
        <w:t>0</w:t>
      </w:r>
      <w:r w:rsidRPr="00C263CC">
        <w:rPr>
          <w:rFonts w:ascii="ShangralaW90-Regular" w:eastAsia="Cambria" w:hAnsi="ShangralaW90-Regular" w:cs="Cambria"/>
          <w:highlight w:val="green"/>
          <w:u w:color="FF0000"/>
        </w:rPr>
        <w:t xml:space="preserve"> and H</w:t>
      </w:r>
      <w:r w:rsidRPr="00C263CC">
        <w:rPr>
          <w:rFonts w:ascii="ShangralaW90-Regular" w:eastAsia="Cambria" w:hAnsi="ShangralaW90-Regular" w:cs="Cambria"/>
          <w:highlight w:val="green"/>
          <w:u w:color="FF0000"/>
          <w:vertAlign w:val="subscript"/>
        </w:rPr>
        <w:t>1</w:t>
      </w:r>
      <w:r w:rsidRPr="004C472F">
        <w:rPr>
          <w:rFonts w:ascii="ShangralaW90-Regular" w:eastAsia="Cambria" w:hAnsi="ShangralaW90-Regular" w:cs="Cambria"/>
          <w:u w:color="FF0000"/>
        </w:rPr>
        <w:t xml:space="preserve">. </w:t>
      </w:r>
      <w:r w:rsidRPr="00C263CC">
        <w:rPr>
          <w:rFonts w:ascii="ShangralaW90-Regular" w:eastAsia="Cambria" w:hAnsi="ShangralaW90-Regular" w:cs="Cambria"/>
          <w:highlight w:val="green"/>
          <w:u w:color="FF0000"/>
        </w:rPr>
        <w:t>Author</w:t>
      </w:r>
      <w:r w:rsidR="00C263CC" w:rsidRPr="00C263CC">
        <w:rPr>
          <w:rFonts w:ascii="ShangralaW90-Regular" w:eastAsia="Cambria" w:hAnsi="ShangralaW90-Regular" w:cs="Cambria"/>
          <w:highlight w:val="green"/>
          <w:u w:color="FF0000"/>
        </w:rPr>
        <w:t>s</w:t>
      </w:r>
      <w:r w:rsidRPr="004C472F">
        <w:rPr>
          <w:rFonts w:ascii="ShangralaW90-Regular" w:eastAsia="Cambria" w:hAnsi="ShangralaW90-Regular" w:cs="Cambria"/>
          <w:u w:color="FF0000"/>
        </w:rPr>
        <w:t xml:space="preserve"> formulated 9 hypotheses, that was developed based on research questions.</w:t>
      </w:r>
    </w:p>
    <w:p w14:paraId="3CAC581B" w14:textId="77777777" w:rsidR="00A75BFE" w:rsidRDefault="00A75BFE" w:rsidP="004C472F">
      <w:pPr>
        <w:pStyle w:val="Body"/>
        <w:jc w:val="both"/>
        <w:rPr>
          <w:rFonts w:ascii="ShangralaW90-Regular" w:eastAsia="Cambria" w:hAnsi="ShangralaW90-Regular" w:cs="Cambria"/>
          <w:u w:color="FF0000"/>
        </w:rPr>
      </w:pPr>
    </w:p>
    <w:p w14:paraId="3ABCE49E" w14:textId="77777777" w:rsidR="004C472F" w:rsidRPr="004C472F" w:rsidRDefault="003461B6" w:rsidP="00F72E97">
      <w:pPr>
        <w:pStyle w:val="Body"/>
        <w:spacing w:after="120"/>
        <w:jc w:val="both"/>
        <w:rPr>
          <w:rFonts w:ascii="ShangralaW90-Regular" w:eastAsia="Cambria" w:hAnsi="ShangralaW90-Regular" w:cs="Cambria"/>
          <w:i/>
          <w:u w:color="FF0000"/>
        </w:rPr>
      </w:pPr>
      <w:r w:rsidRPr="00D9274D">
        <w:rPr>
          <w:rFonts w:ascii="Lato" w:eastAsia="Cambria" w:hAnsi="Lato" w:cs="Cambria"/>
          <w:b/>
          <w:i/>
          <w:color w:val="1F4E79" w:themeColor="accent5" w:themeShade="80"/>
          <w:sz w:val="24"/>
          <w:szCs w:val="24"/>
          <w:u w:color="FF0000"/>
        </w:rPr>
        <w:t xml:space="preserve">Hypotheses on </w:t>
      </w:r>
      <w:r w:rsidRPr="00305BD5">
        <w:rPr>
          <w:rFonts w:ascii="Lato" w:eastAsia="Cambria" w:hAnsi="Lato" w:cs="Cambria"/>
          <w:b/>
          <w:i/>
          <w:color w:val="1F4E79" w:themeColor="accent5" w:themeShade="80"/>
          <w:sz w:val="24"/>
          <w:szCs w:val="24"/>
          <w:highlight w:val="green"/>
          <w:u w:color="FF0000"/>
        </w:rPr>
        <w:t>FDI by Origin</w:t>
      </w:r>
    </w:p>
    <w:p w14:paraId="7B9B4EF2" w14:textId="77777777" w:rsidR="00C86BAE" w:rsidRDefault="003461B6" w:rsidP="00C356D1">
      <w:pPr>
        <w:pStyle w:val="Body"/>
        <w:spacing w:after="120"/>
        <w:ind w:firstLine="540"/>
        <w:jc w:val="both"/>
        <w:rPr>
          <w:rFonts w:ascii="ShangralaW90-Regular" w:eastAsia="Cambria" w:hAnsi="ShangralaW90-Regular" w:cs="Cambria"/>
          <w:u w:color="FF0000"/>
        </w:rPr>
      </w:pPr>
      <w:r w:rsidRPr="00C86BAE">
        <w:rPr>
          <w:rFonts w:ascii="ShangralaW90-Regular" w:eastAsia="Cambria" w:hAnsi="ShangralaW90-Regular" w:cs="Cambria"/>
          <w:u w:color="FF0000"/>
        </w:rPr>
        <w:t xml:space="preserve">In this section,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developed 3 hypotheses to examine the role of Singapore and Malaysia in the Riau Islands. This study considered the following variables (i.e., total, manufacturing, and non-manufacturing FDI) to see the role of each partner country in total FDI and two major categories of FDI. To do that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also considered investments from East Asian Countries (i.e., China, Hong Kong, Taiwan, and South Korea) and the United States</w:t>
      </w:r>
      <w:r w:rsidR="00B31035">
        <w:rPr>
          <w:rFonts w:ascii="ShangralaW90-Regular" w:eastAsia="Cambria" w:hAnsi="ShangralaW90-Regular" w:cs="Cambria"/>
          <w:u w:color="FF0000"/>
        </w:rPr>
        <w:t xml:space="preserve"> (US)</w:t>
      </w:r>
      <w:r w:rsidRPr="00C86BAE">
        <w:rPr>
          <w:rFonts w:ascii="ShangralaW90-Regular" w:eastAsia="Cambria" w:hAnsi="ShangralaW90-Regular" w:cs="Cambria"/>
          <w:u w:color="FF0000"/>
        </w:rPr>
        <w:t xml:space="preserve">.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then compared Singapore's investment with Malaysia's and other countries' investments.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also compared Malaysia's investment with Singapore's and other countries' investments.</w:t>
      </w:r>
    </w:p>
    <w:p w14:paraId="10309A0B"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1: </w:t>
      </w:r>
    </w:p>
    <w:p w14:paraId="339262DA" w14:textId="77777777" w:rsidR="00747DD0" w:rsidRDefault="003461B6" w:rsidP="00D72C5D">
      <w:pPr>
        <w:pStyle w:val="Body"/>
        <w:ind w:left="360" w:hanging="360"/>
        <w:jc w:val="both"/>
        <w:rPr>
          <w:rFonts w:ascii="ShangralaW90-Regular" w:eastAsia="Cambria" w:hAnsi="ShangralaW90-Regular" w:cs="Cambria"/>
          <w:u w:color="FF0000"/>
        </w:rPr>
      </w:pPr>
      <w:r w:rsidRPr="00747DD0">
        <w:rPr>
          <w:rFonts w:ascii="ShangralaW90-Regular" w:eastAsia="Cambria" w:hAnsi="ShangralaW90-Regular" w:cs="Cambria"/>
          <w:highlight w:val="green"/>
          <w:u w:color="FF0000"/>
        </w:rPr>
        <w:t>H</w:t>
      </w:r>
      <w:r w:rsidRPr="00747DD0">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Singapore’s/Malaysia’s total FDI in Riau Islands </w:t>
      </w:r>
      <w:r w:rsidR="008D2B97" w:rsidRPr="008D2B97">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the total FDI from other countries.  </w:t>
      </w:r>
    </w:p>
    <w:p w14:paraId="11E70A48" w14:textId="77777777" w:rsidR="00C86BAE" w:rsidRPr="00C86BAE" w:rsidRDefault="003461B6" w:rsidP="00824325">
      <w:pPr>
        <w:pStyle w:val="Body"/>
        <w:tabs>
          <w:tab w:val="left" w:pos="450"/>
        </w:tabs>
        <w:spacing w:after="120"/>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747DD0">
        <w:rPr>
          <w:rFonts w:ascii="ShangralaW90-Regular" w:eastAsia="Cambria" w:hAnsi="ShangralaW90-Regular" w:cs="Cambria"/>
          <w:highlight w:val="green"/>
          <w:u w:color="FF0000"/>
        </w:rPr>
        <w:t>1</w:t>
      </w:r>
      <w:r w:rsidRPr="00C86BAE">
        <w:rPr>
          <w:rFonts w:ascii="ShangralaW90-Regular" w:eastAsia="Cambria" w:hAnsi="ShangralaW90-Regular" w:cs="Cambria"/>
          <w:u w:color="FF0000"/>
        </w:rPr>
        <w:t xml:space="preserve">: Singapore’s/Malaysia’s total FDI in Riau Islands </w:t>
      </w:r>
      <w:r w:rsidR="008D2B97" w:rsidRPr="008D2B97">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 the total FDI from other countries. </w:t>
      </w:r>
    </w:p>
    <w:p w14:paraId="678231C3"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2: </w:t>
      </w:r>
    </w:p>
    <w:p w14:paraId="08BBFC3B" w14:textId="77777777" w:rsidR="00D72C5D" w:rsidRDefault="003461B6" w:rsidP="00D72C5D">
      <w:pPr>
        <w:pStyle w:val="Body"/>
        <w:tabs>
          <w:tab w:val="left" w:pos="360"/>
        </w:tabs>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D72C5D">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w:t>
      </w:r>
      <w:r>
        <w:rPr>
          <w:rFonts w:ascii="ShangralaW90-Regular" w:eastAsia="Cambria" w:hAnsi="ShangralaW90-Regular" w:cs="Cambria"/>
          <w:u w:color="FF0000"/>
        </w:rPr>
        <w:t xml:space="preserve"> </w:t>
      </w:r>
      <w:r w:rsidRPr="00C86BAE">
        <w:rPr>
          <w:rFonts w:ascii="ShangralaW90-Regular" w:eastAsia="Cambria" w:hAnsi="ShangralaW90-Regular" w:cs="Cambria"/>
          <w:u w:color="FF0000"/>
        </w:rPr>
        <w:t xml:space="preserve">Singapore’s/Malaysia’s manufacturing FDI in Riau Islands </w:t>
      </w:r>
      <w:r w:rsidR="008D2B97" w:rsidRPr="008D2B97">
        <w:rPr>
          <w:rFonts w:ascii="ShangralaW90-Regular" w:eastAsia="Cambria" w:hAnsi="ShangralaW90-Regular" w:cs="Cambria"/>
          <w:highlight w:val="green"/>
          <w:u w:color="FF0000"/>
        </w:rPr>
        <w:t>is</w:t>
      </w:r>
      <w:r w:rsidR="008D2B97">
        <w:rPr>
          <w:rFonts w:ascii="ShangralaW90-Regular" w:eastAsia="Cambria" w:hAnsi="ShangralaW90-Regular" w:cs="Cambria"/>
          <w:u w:color="FF0000"/>
        </w:rPr>
        <w:t xml:space="preserve"> </w:t>
      </w:r>
      <w:r w:rsidRPr="00C86BAE">
        <w:rPr>
          <w:rFonts w:ascii="ShangralaW90-Regular" w:eastAsia="Cambria" w:hAnsi="ShangralaW90-Regular" w:cs="Cambria"/>
          <w:u w:color="FF0000"/>
        </w:rPr>
        <w:t>not significantly different from manufacturing FDI from other countries.</w:t>
      </w:r>
    </w:p>
    <w:p w14:paraId="2EC8169C" w14:textId="77777777" w:rsidR="00C86BAE" w:rsidRPr="00C86BAE" w:rsidRDefault="003461B6" w:rsidP="00824325">
      <w:pPr>
        <w:pStyle w:val="Body"/>
        <w:tabs>
          <w:tab w:val="left" w:pos="360"/>
        </w:tabs>
        <w:spacing w:after="120"/>
        <w:ind w:left="360" w:hanging="360"/>
        <w:jc w:val="both"/>
        <w:rPr>
          <w:rFonts w:ascii="ShangralaW90-Regular" w:eastAsia="Cambria" w:hAnsi="ShangralaW90-Regular" w:cs="Cambria"/>
          <w:u w:color="FF0000"/>
        </w:rPr>
      </w:pPr>
      <w:r w:rsidRPr="00D72C5D">
        <w:rPr>
          <w:rFonts w:ascii="ShangralaW90-Regular" w:eastAsia="Cambria" w:hAnsi="ShangralaW90-Regular" w:cs="Cambria"/>
          <w:u w:color="FF0000"/>
        </w:rPr>
        <w:t>H</w:t>
      </w:r>
      <w:r w:rsidRPr="00D72C5D">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w:t>
      </w:r>
      <w:r w:rsidR="00D72C5D">
        <w:rPr>
          <w:rFonts w:ascii="ShangralaW90-Regular" w:eastAsia="Cambria" w:hAnsi="ShangralaW90-Regular" w:cs="Cambria"/>
          <w:u w:color="FF0000"/>
        </w:rPr>
        <w:t xml:space="preserve"> </w:t>
      </w:r>
      <w:r w:rsidRPr="00C86BAE">
        <w:rPr>
          <w:rFonts w:ascii="ShangralaW90-Regular" w:eastAsia="Cambria" w:hAnsi="ShangralaW90-Regular" w:cs="Cambria"/>
          <w:u w:color="FF0000"/>
        </w:rPr>
        <w:t xml:space="preserve">Singapore’s/Malaysia’s manufacturing FDI in Riau Islands </w:t>
      </w:r>
      <w:r w:rsidR="008D2B97" w:rsidRPr="008D2B97">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w:t>
      </w:r>
      <w:r w:rsidR="00D72C5D">
        <w:rPr>
          <w:rFonts w:ascii="ShangralaW90-Regular" w:eastAsia="Cambria" w:hAnsi="ShangralaW90-Regular" w:cs="Cambria"/>
          <w:u w:color="FF0000"/>
        </w:rPr>
        <w:t xml:space="preserve"> </w:t>
      </w:r>
      <w:r w:rsidRPr="00C86BAE">
        <w:rPr>
          <w:rFonts w:ascii="ShangralaW90-Regular" w:eastAsia="Cambria" w:hAnsi="ShangralaW90-Regular" w:cs="Cambria"/>
          <w:u w:color="FF0000"/>
        </w:rPr>
        <w:t xml:space="preserve">manufacturing FDI from other countries. </w:t>
      </w:r>
    </w:p>
    <w:p w14:paraId="4D183AD5"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3: </w:t>
      </w:r>
    </w:p>
    <w:p w14:paraId="3595E741" w14:textId="77777777" w:rsidR="00D72C5D" w:rsidRDefault="003461B6" w:rsidP="00D72C5D">
      <w:pPr>
        <w:pStyle w:val="Body"/>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D72C5D">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Singapore’s/Malaysia’s non-manufacturing FDI in Riau Islands </w:t>
      </w:r>
      <w:r w:rsidR="008D2B97" w:rsidRPr="008D2B97">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non-manufacturing FDI from other countries.</w:t>
      </w:r>
    </w:p>
    <w:p w14:paraId="52D57557" w14:textId="77777777" w:rsidR="00C86BAE" w:rsidRPr="006079D5" w:rsidRDefault="003461B6" w:rsidP="00D72C5D">
      <w:pPr>
        <w:pStyle w:val="Body"/>
        <w:ind w:left="360" w:hanging="360"/>
        <w:jc w:val="both"/>
        <w:rPr>
          <w:rFonts w:ascii="ShangralaW90-Regular" w:eastAsia="Cambria" w:hAnsi="ShangralaW90-Regular" w:cs="Cambria"/>
          <w:u w:color="FF0000"/>
        </w:rPr>
      </w:pPr>
      <w:r w:rsidRPr="00D72C5D">
        <w:rPr>
          <w:rFonts w:ascii="ShangralaW90-Regular" w:eastAsia="Cambria" w:hAnsi="ShangralaW90-Regular" w:cs="Cambria"/>
          <w:u w:color="FF0000"/>
        </w:rPr>
        <w:t>H</w:t>
      </w:r>
      <w:r w:rsidRPr="00D72C5D">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Singapore’s/Malaysia’s non-manufacturing FDI in Riau Islands </w:t>
      </w:r>
      <w:r w:rsidR="008D2B97" w:rsidRPr="008D2B97">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 non-manufacturing FDI from other countries.</w:t>
      </w:r>
    </w:p>
    <w:p w14:paraId="62036471" w14:textId="77777777" w:rsidR="00C86BAE" w:rsidRDefault="00C86BAE" w:rsidP="00C86BAE">
      <w:pPr>
        <w:pStyle w:val="Body"/>
        <w:jc w:val="both"/>
        <w:rPr>
          <w:rFonts w:ascii="ShangralaW90-Regular" w:eastAsia="Cambria" w:hAnsi="ShangralaW90-Regular" w:cs="Cambria"/>
          <w:u w:color="FF0000"/>
        </w:rPr>
      </w:pPr>
    </w:p>
    <w:p w14:paraId="37313B16" w14:textId="77777777" w:rsidR="00C86BAE" w:rsidRDefault="003461B6" w:rsidP="00F72E97">
      <w:pPr>
        <w:pStyle w:val="Body"/>
        <w:spacing w:after="120"/>
        <w:jc w:val="both"/>
        <w:rPr>
          <w:rFonts w:ascii="Lato" w:eastAsia="Cambria" w:hAnsi="Lato" w:cs="Cambria"/>
          <w:b/>
          <w:i/>
          <w:color w:val="1F4E79" w:themeColor="accent5" w:themeShade="80"/>
          <w:sz w:val="24"/>
          <w:szCs w:val="24"/>
          <w:u w:color="FF0000"/>
        </w:rPr>
      </w:pPr>
      <w:r w:rsidRPr="00C86BAE">
        <w:rPr>
          <w:rFonts w:ascii="Lato" w:eastAsia="Cambria" w:hAnsi="Lato" w:cs="Cambria"/>
          <w:b/>
          <w:i/>
          <w:color w:val="1F4E79" w:themeColor="accent5" w:themeShade="80"/>
          <w:sz w:val="24"/>
          <w:szCs w:val="24"/>
          <w:u w:color="FF0000"/>
        </w:rPr>
        <w:t xml:space="preserve">Hypotheses on Singapore’s and Malaysia’s </w:t>
      </w:r>
      <w:r w:rsidRPr="00D9274D">
        <w:rPr>
          <w:rFonts w:ascii="Lato" w:eastAsia="Cambria" w:hAnsi="Lato" w:cs="Cambria"/>
          <w:b/>
          <w:i/>
          <w:color w:val="1F4E79" w:themeColor="accent5" w:themeShade="80"/>
          <w:sz w:val="24"/>
          <w:szCs w:val="24"/>
          <w:highlight w:val="green"/>
          <w:u w:color="FF0000"/>
        </w:rPr>
        <w:t>FDI by</w:t>
      </w:r>
      <w:r w:rsidRPr="00C86BAE">
        <w:rPr>
          <w:rFonts w:ascii="Lato" w:eastAsia="Cambria" w:hAnsi="Lato" w:cs="Cambria"/>
          <w:b/>
          <w:i/>
          <w:color w:val="1F4E79" w:themeColor="accent5" w:themeShade="80"/>
          <w:sz w:val="24"/>
          <w:szCs w:val="24"/>
          <w:u w:color="FF0000"/>
        </w:rPr>
        <w:t xml:space="preserve"> Sectors and Sub-Sectors</w:t>
      </w:r>
    </w:p>
    <w:p w14:paraId="76B49461" w14:textId="77777777" w:rsidR="00C86BAE" w:rsidRPr="00C86BAE" w:rsidRDefault="003461B6" w:rsidP="00C356D1">
      <w:pPr>
        <w:pStyle w:val="Body"/>
        <w:spacing w:after="120"/>
        <w:ind w:firstLine="540"/>
        <w:jc w:val="both"/>
        <w:rPr>
          <w:rFonts w:ascii="ShangralaW90-Regular" w:eastAsia="Cambria" w:hAnsi="ShangralaW90-Regular" w:cs="Cambria"/>
          <w:u w:color="FF0000"/>
        </w:rPr>
      </w:pPr>
      <w:r w:rsidRPr="00C86BAE">
        <w:rPr>
          <w:rFonts w:ascii="ShangralaW90-Regular" w:eastAsia="Cambria" w:hAnsi="ShangralaW90-Regular" w:cs="Cambria"/>
          <w:u w:color="FF0000"/>
        </w:rPr>
        <w:t xml:space="preserve">After conducting a hypothesis analysis for total FDI and two major categories of FDI for partner countries,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did a more detailed analysis by comparing two major categories of FDI (non- and manufacturing sector) only for each partner country.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also considered certain manufacturing and tertiary sub-sectors only for each partner country to see </w:t>
      </w:r>
      <w:r w:rsidR="00CF3D74" w:rsidRPr="00C86BAE">
        <w:rPr>
          <w:rFonts w:ascii="ShangralaW90-Regular" w:eastAsia="Cambria" w:hAnsi="ShangralaW90-Regular" w:cs="Cambria"/>
          <w:u w:color="FF0000"/>
        </w:rPr>
        <w:t xml:space="preserve">specializations </w:t>
      </w:r>
      <w:r w:rsidR="00CF3D74">
        <w:rPr>
          <w:rFonts w:ascii="ShangralaW90-Regular" w:eastAsia="Cambria" w:hAnsi="ShangralaW90-Regular" w:cs="Cambria"/>
          <w:u w:color="FF0000"/>
        </w:rPr>
        <w:t xml:space="preserve">in </w:t>
      </w:r>
      <w:r w:rsidR="00E80A5B">
        <w:rPr>
          <w:rFonts w:ascii="ShangralaW90-Regular" w:eastAsia="Cambria" w:hAnsi="ShangralaW90-Regular" w:cs="Cambria"/>
          <w:u w:color="FF0000"/>
        </w:rPr>
        <w:t>their</w:t>
      </w:r>
      <w:r w:rsidR="00CF3D74">
        <w:rPr>
          <w:rFonts w:ascii="ShangralaW90-Regular" w:eastAsia="Cambria" w:hAnsi="ShangralaW90-Regular" w:cs="Cambria"/>
          <w:u w:color="FF0000"/>
        </w:rPr>
        <w:t xml:space="preserve"> </w:t>
      </w:r>
      <w:r w:rsidR="00CF3D74" w:rsidRPr="00C86BAE">
        <w:rPr>
          <w:rFonts w:ascii="ShangralaW90-Regular" w:eastAsia="Cambria" w:hAnsi="ShangralaW90-Regular" w:cs="Cambria"/>
          <w:u w:color="FF0000"/>
        </w:rPr>
        <w:t>investment</w:t>
      </w:r>
      <w:r w:rsidR="00E80A5B">
        <w:rPr>
          <w:rFonts w:ascii="ShangralaW90-Regular" w:eastAsia="Cambria" w:hAnsi="ShangralaW90-Regular" w:cs="Cambria"/>
          <w:u w:color="FF0000"/>
        </w:rPr>
        <w:t>s</w:t>
      </w:r>
      <w:r w:rsidRPr="00C86BAE">
        <w:rPr>
          <w:rFonts w:ascii="ShangralaW90-Regular" w:eastAsia="Cambria" w:hAnsi="ShangralaW90-Regular" w:cs="Cambria"/>
          <w:u w:color="FF0000"/>
        </w:rPr>
        <w:t xml:space="preserve">. The reasons for selecting the sectors and sub-sectors were described as follows. Firstly, Singapore's FDI in equipment, machinery, electrical and electronic industry was considered because Singapore developed the technologies and industries and has a competitive advantage in the sectors that </w:t>
      </w:r>
      <w:r w:rsidRPr="00E80A5B">
        <w:rPr>
          <w:rFonts w:ascii="ShangralaW90-Regular" w:eastAsia="Cambria" w:hAnsi="ShangralaW90-Regular" w:cs="Cambria"/>
          <w:highlight w:val="green"/>
          <w:u w:color="FF0000"/>
        </w:rPr>
        <w:t>contributed to Singaporean economic growth (Kakazu, 1999; Macleod and McGee, 1996; Vu, 2013). Secondly, Singapore's and Malaysia's FDI in logistics and communication w</w:t>
      </w:r>
      <w:r w:rsidRPr="00C86BAE">
        <w:rPr>
          <w:rFonts w:ascii="ShangralaW90-Regular" w:eastAsia="Cambria" w:hAnsi="ShangralaW90-Regular" w:cs="Cambria"/>
          <w:u w:color="FF0000"/>
        </w:rPr>
        <w:t xml:space="preserve">ere considered because Riau Islands need better transportation and logistics management to support trade and manufacturing </w:t>
      </w:r>
      <w:r w:rsidRPr="00E80A5B">
        <w:rPr>
          <w:rFonts w:ascii="ShangralaW90-Regular" w:eastAsia="Cambria" w:hAnsi="ShangralaW90-Regular" w:cs="Cambria"/>
          <w:highlight w:val="green"/>
          <w:u w:color="FF0000"/>
        </w:rPr>
        <w:t>activities (Kakazu, 1999). Thirdly, Malaysia's</w:t>
      </w:r>
      <w:r w:rsidRPr="00C86BAE">
        <w:rPr>
          <w:rFonts w:ascii="ShangralaW90-Regular" w:eastAsia="Cambria" w:hAnsi="ShangralaW90-Regular" w:cs="Cambria"/>
          <w:u w:color="FF0000"/>
        </w:rPr>
        <w:t xml:space="preserve"> FDI in the food industry was considered because Malaysia has a good reputation in the halal industry and was ranked as top 1 </w:t>
      </w:r>
      <w:r w:rsidR="008D2B97" w:rsidRPr="008D2B97">
        <w:rPr>
          <w:rFonts w:ascii="ShangralaW90-Regular" w:eastAsia="Cambria" w:hAnsi="ShangralaW90-Regular" w:cs="Cambria"/>
          <w:highlight w:val="green"/>
          <w:u w:color="FF0000"/>
        </w:rPr>
        <w:t>in the</w:t>
      </w:r>
      <w:r w:rsidR="008D2B97">
        <w:rPr>
          <w:rFonts w:ascii="ShangralaW90-Regular" w:eastAsia="Cambria" w:hAnsi="ShangralaW90-Regular" w:cs="Cambria"/>
          <w:u w:color="FF0000"/>
        </w:rPr>
        <w:t xml:space="preserve"> </w:t>
      </w:r>
      <w:r w:rsidRPr="00C86BAE">
        <w:rPr>
          <w:rFonts w:ascii="ShangralaW90-Regular" w:eastAsia="Cambria" w:hAnsi="ShangralaW90-Regular" w:cs="Cambria"/>
          <w:u w:color="FF0000"/>
        </w:rPr>
        <w:t xml:space="preserve">global Islamic economy </w:t>
      </w:r>
      <w:r w:rsidRPr="00C86BAE">
        <w:rPr>
          <w:rFonts w:ascii="ShangralaW90-Regular" w:eastAsia="Cambria" w:hAnsi="ShangralaW90-Regular" w:cs="Cambria"/>
          <w:u w:color="FF0000"/>
        </w:rPr>
        <w:lastRenderedPageBreak/>
        <w:t xml:space="preserve">indicator in at least three </w:t>
      </w:r>
      <w:r w:rsidRPr="007C7B3B">
        <w:rPr>
          <w:rFonts w:ascii="ShangralaW90-Regular" w:eastAsia="Cambria" w:hAnsi="ShangralaW90-Regular" w:cs="Cambria"/>
          <w:highlight w:val="green"/>
          <w:u w:color="FF0000"/>
        </w:rPr>
        <w:t>years (2018, 2019, and 2010). Based</w:t>
      </w:r>
      <w:r w:rsidRPr="00C86BAE">
        <w:rPr>
          <w:rFonts w:ascii="ShangralaW90-Regular" w:eastAsia="Cambria" w:hAnsi="ShangralaW90-Regular" w:cs="Cambria"/>
          <w:u w:color="FF0000"/>
        </w:rPr>
        <w:t xml:space="preserve"> on the above consideration, </w:t>
      </w:r>
      <w:r w:rsidRPr="008D2B97">
        <w:rPr>
          <w:rFonts w:ascii="ShangralaW90-Regular" w:eastAsia="Cambria" w:hAnsi="ShangralaW90-Regular" w:cs="Cambria"/>
          <w:highlight w:val="green"/>
          <w:u w:color="FF0000"/>
        </w:rPr>
        <w:t>author</w:t>
      </w:r>
      <w:r w:rsidR="008D2B97" w:rsidRPr="008D2B97">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then formulated the following hypotheses.</w:t>
      </w:r>
    </w:p>
    <w:p w14:paraId="08AD41D5"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4: </w:t>
      </w:r>
    </w:p>
    <w:p w14:paraId="79C32DC4" w14:textId="77777777" w:rsidR="00D72C5D" w:rsidRDefault="003461B6" w:rsidP="00D72C5D">
      <w:pPr>
        <w:pStyle w:val="Body"/>
        <w:ind w:left="360" w:hanging="360"/>
        <w:jc w:val="both"/>
        <w:rPr>
          <w:rFonts w:ascii="ShangralaW90-Regular" w:eastAsia="Cambria" w:hAnsi="ShangralaW90-Regular" w:cs="Cambria"/>
          <w:u w:color="FF0000"/>
        </w:rPr>
      </w:pPr>
      <w:r w:rsidRPr="00D72C5D">
        <w:rPr>
          <w:rFonts w:ascii="ShangralaW90-Regular" w:eastAsia="Cambria" w:hAnsi="ShangralaW90-Regular" w:cs="Cambria"/>
          <w:highlight w:val="green"/>
          <w:u w:color="FF0000"/>
        </w:rPr>
        <w:t>H</w:t>
      </w:r>
      <w:r w:rsidRPr="00D72C5D">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w:t>
      </w:r>
      <w:r>
        <w:rPr>
          <w:rFonts w:ascii="ShangralaW90-Regular" w:eastAsia="Cambria" w:hAnsi="ShangralaW90-Regular" w:cs="Cambria"/>
          <w:u w:color="FF0000"/>
        </w:rPr>
        <w:t xml:space="preserve"> </w:t>
      </w:r>
      <w:r w:rsidRPr="00C86BAE">
        <w:rPr>
          <w:rFonts w:ascii="ShangralaW90-Regular" w:eastAsia="Cambria" w:hAnsi="ShangralaW90-Regular" w:cs="Cambria"/>
          <w:u w:color="FF0000"/>
        </w:rPr>
        <w:t xml:space="preserve">Singapore’s manufacturing FDI in Riau Islands </w:t>
      </w:r>
      <w:r w:rsidRPr="00D72C5D">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its FDI in the non-manufacturing sector.</w:t>
      </w:r>
    </w:p>
    <w:p w14:paraId="4FBFAA8B" w14:textId="77777777" w:rsidR="00C86BAE" w:rsidRPr="00C86BAE" w:rsidRDefault="003461B6" w:rsidP="00824325">
      <w:pPr>
        <w:pStyle w:val="Body"/>
        <w:spacing w:after="120"/>
        <w:ind w:left="360" w:hanging="360"/>
        <w:jc w:val="both"/>
        <w:rPr>
          <w:rFonts w:ascii="ShangralaW90-Regular" w:eastAsia="Cambria" w:hAnsi="ShangralaW90-Regular" w:cs="Cambria"/>
          <w:u w:color="FF0000"/>
        </w:rPr>
      </w:pPr>
      <w:r w:rsidRPr="00D72C5D">
        <w:rPr>
          <w:rFonts w:ascii="ShangralaW90-Regular" w:eastAsia="Cambria" w:hAnsi="ShangralaW90-Regular" w:cs="Cambria"/>
          <w:highlight w:val="green"/>
          <w:u w:color="FF0000"/>
        </w:rPr>
        <w:t>H</w:t>
      </w:r>
      <w:r w:rsidRPr="00D72C5D">
        <w:rPr>
          <w:rFonts w:ascii="ShangralaW90-Regular" w:eastAsia="Cambria" w:hAnsi="ShangralaW90-Regular" w:cs="Cambria"/>
          <w:highlight w:val="green"/>
          <w:u w:color="FF0000"/>
          <w:vertAlign w:val="subscript"/>
        </w:rPr>
        <w:t>1</w:t>
      </w:r>
      <w:r w:rsidRPr="00D72C5D">
        <w:rPr>
          <w:rFonts w:ascii="ShangralaW90-Regular" w:eastAsia="Cambria" w:hAnsi="ShangralaW90-Regular" w:cs="Cambria"/>
          <w:highlight w:val="green"/>
          <w:u w:color="FF0000"/>
        </w:rPr>
        <w:t>:</w:t>
      </w:r>
      <w:r w:rsidRPr="00C86BAE">
        <w:rPr>
          <w:rFonts w:ascii="ShangralaW90-Regular" w:eastAsia="Cambria" w:hAnsi="ShangralaW90-Regular" w:cs="Cambria"/>
          <w:u w:color="FF0000"/>
        </w:rPr>
        <w:t xml:space="preserve"> Singapore’s manufacturing FDI in Riau Islands </w:t>
      </w:r>
      <w:r w:rsidR="00D72C5D" w:rsidRPr="00D72C5D">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 its FDI in the non-manufacturing sector.</w:t>
      </w:r>
    </w:p>
    <w:p w14:paraId="06FE7788"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5: </w:t>
      </w:r>
    </w:p>
    <w:p w14:paraId="6B3C587F" w14:textId="77777777" w:rsidR="00E47ADC" w:rsidRDefault="003461B6" w:rsidP="00E47ADC">
      <w:pPr>
        <w:pStyle w:val="Body"/>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E47ADC">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Singapore’s FDI in equipment, machinery, electrical and electronic industry in Riau Islands </w:t>
      </w:r>
      <w:r w:rsidRPr="00E47ADC">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its FDI in other manufacturing subsectors. </w:t>
      </w:r>
    </w:p>
    <w:p w14:paraId="051BF3E8" w14:textId="77777777" w:rsidR="00C86BAE" w:rsidRPr="00C86BAE" w:rsidRDefault="003461B6" w:rsidP="00824325">
      <w:pPr>
        <w:pStyle w:val="Body"/>
        <w:spacing w:after="120"/>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E47ADC">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Singapore's FDI in equipment, machinery, electrical and electronic industry in the Riau islands </w:t>
      </w:r>
      <w:r w:rsidR="00E47ADC" w:rsidRPr="00E47ADC">
        <w:rPr>
          <w:rFonts w:ascii="ShangralaW90-Regular" w:eastAsia="Cambria" w:hAnsi="ShangralaW90-Regular" w:cs="Cambria"/>
          <w:highlight w:val="green"/>
          <w:u w:color="FF0000"/>
        </w:rPr>
        <w:t>i</w:t>
      </w:r>
      <w:r w:rsidRPr="00E47ADC">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significantly different from its FDI in other manufacturing subsectors.</w:t>
      </w:r>
    </w:p>
    <w:p w14:paraId="1C68B0D3"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6: </w:t>
      </w:r>
    </w:p>
    <w:p w14:paraId="77544233" w14:textId="77777777" w:rsidR="00687249" w:rsidRDefault="003461B6" w:rsidP="00687249">
      <w:pPr>
        <w:pStyle w:val="Body"/>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687249">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Singapore's FDI in logistics and communication in the Riau islands </w:t>
      </w:r>
      <w:r w:rsidRPr="00687249">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its FDI in other tertiary subsectors.</w:t>
      </w:r>
    </w:p>
    <w:p w14:paraId="767C9D87" w14:textId="77777777" w:rsidR="00C86BAE" w:rsidRPr="00C86BAE" w:rsidRDefault="003461B6" w:rsidP="00824325">
      <w:pPr>
        <w:pStyle w:val="Body"/>
        <w:spacing w:after="120"/>
        <w:ind w:left="360" w:hanging="360"/>
        <w:jc w:val="both"/>
        <w:rPr>
          <w:rFonts w:ascii="ShangralaW90-Regular" w:eastAsia="Cambria" w:hAnsi="ShangralaW90-Regular" w:cs="Cambria"/>
          <w:u w:color="FF0000"/>
        </w:rPr>
      </w:pPr>
      <w:r w:rsidRPr="00687249">
        <w:rPr>
          <w:rFonts w:ascii="ShangralaW90-Regular" w:eastAsia="Cambria" w:hAnsi="ShangralaW90-Regular" w:cs="Cambria"/>
          <w:u w:color="FF0000"/>
        </w:rPr>
        <w:t>H</w:t>
      </w:r>
      <w:r w:rsidRPr="00687249">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Singapore’s FDI in logistics and communication in Riau Islands </w:t>
      </w:r>
      <w:r w:rsidR="00687249" w:rsidRPr="00687249">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 its FDI in other tertiary subsectors.</w:t>
      </w:r>
    </w:p>
    <w:p w14:paraId="25B43FC0"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7: </w:t>
      </w:r>
    </w:p>
    <w:p w14:paraId="0EFE7E65" w14:textId="77777777" w:rsidR="00B809A3" w:rsidRDefault="003461B6" w:rsidP="00B809A3">
      <w:pPr>
        <w:pStyle w:val="Body"/>
        <w:tabs>
          <w:tab w:val="left" w:pos="360"/>
        </w:tabs>
        <w:ind w:left="360" w:hanging="360"/>
        <w:jc w:val="both"/>
        <w:rPr>
          <w:rFonts w:ascii="ShangralaW90-Regular" w:eastAsia="Cambria" w:hAnsi="ShangralaW90-Regular" w:cs="Cambria"/>
          <w:u w:color="FF0000"/>
        </w:rPr>
      </w:pPr>
      <w:r w:rsidRPr="00B809A3">
        <w:rPr>
          <w:rFonts w:ascii="ShangralaW90-Regular" w:eastAsia="Cambria" w:hAnsi="ShangralaW90-Regular" w:cs="Cambria"/>
          <w:u w:color="FF0000"/>
        </w:rPr>
        <w:t>H</w:t>
      </w:r>
      <w:r w:rsidRPr="00B809A3">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Malaysia’s manufacturing FDI in Riau Islands </w:t>
      </w:r>
      <w:r w:rsidRPr="00B809A3">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its FDI in the non-manufacturing sector.</w:t>
      </w:r>
    </w:p>
    <w:p w14:paraId="5443B3C5" w14:textId="77777777" w:rsidR="00C86BAE" w:rsidRPr="00C86BAE" w:rsidRDefault="003461B6" w:rsidP="00824325">
      <w:pPr>
        <w:pStyle w:val="Body"/>
        <w:tabs>
          <w:tab w:val="left" w:pos="360"/>
        </w:tabs>
        <w:spacing w:after="120"/>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B809A3">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Malaysia’s manufacturing FDI in Riau Islands </w:t>
      </w:r>
      <w:r w:rsidR="00B809A3" w:rsidRPr="00B809A3">
        <w:rPr>
          <w:rFonts w:ascii="ShangralaW90-Regular" w:eastAsia="Cambria" w:hAnsi="ShangralaW90-Regular" w:cs="Cambria"/>
          <w:highlight w:val="green"/>
          <w:u w:color="FF0000"/>
        </w:rPr>
        <w:t>i</w:t>
      </w:r>
      <w:r w:rsidRPr="00B809A3">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significantly different from its FDI in the non-manufacturing sector.</w:t>
      </w:r>
    </w:p>
    <w:p w14:paraId="4454668E"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 xml:space="preserve">Hypothesis 8: </w:t>
      </w:r>
    </w:p>
    <w:p w14:paraId="74EF3531" w14:textId="77777777" w:rsidR="00B809A3" w:rsidRDefault="003461B6" w:rsidP="00B809A3">
      <w:pPr>
        <w:pStyle w:val="Body"/>
        <w:ind w:left="360" w:hanging="360"/>
        <w:jc w:val="both"/>
        <w:rPr>
          <w:rFonts w:ascii="ShangralaW90-Regular" w:eastAsia="Cambria" w:hAnsi="ShangralaW90-Regular" w:cs="Cambria"/>
          <w:u w:color="FF0000"/>
        </w:rPr>
      </w:pPr>
      <w:r w:rsidRPr="00B809A3">
        <w:rPr>
          <w:rFonts w:ascii="ShangralaW90-Regular" w:eastAsia="Cambria" w:hAnsi="ShangralaW90-Regular" w:cs="Cambria"/>
          <w:u w:color="FF0000"/>
        </w:rPr>
        <w:t>H</w:t>
      </w:r>
      <w:r w:rsidRPr="00B809A3">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Malaysia's FDI in the food industry in Riau Islands </w:t>
      </w:r>
      <w:r w:rsidRPr="00B809A3">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its FDI in other manufacturing subsectors.</w:t>
      </w:r>
    </w:p>
    <w:p w14:paraId="17D89050" w14:textId="77777777" w:rsidR="00C86BAE" w:rsidRPr="00C86BAE" w:rsidRDefault="003461B6" w:rsidP="00824325">
      <w:pPr>
        <w:pStyle w:val="Body"/>
        <w:spacing w:after="120"/>
        <w:ind w:left="360" w:hanging="360"/>
        <w:jc w:val="both"/>
        <w:rPr>
          <w:rFonts w:ascii="ShangralaW90-Regular" w:eastAsia="Cambria" w:hAnsi="ShangralaW90-Regular" w:cs="Cambria"/>
          <w:u w:color="FF0000"/>
        </w:rPr>
      </w:pPr>
      <w:r w:rsidRPr="00C86BAE">
        <w:rPr>
          <w:rFonts w:ascii="ShangralaW90-Regular" w:eastAsia="Cambria" w:hAnsi="ShangralaW90-Regular" w:cs="Cambria"/>
          <w:u w:color="FF0000"/>
        </w:rPr>
        <w:t>H</w:t>
      </w:r>
      <w:r w:rsidRPr="00A75BFE">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Malaysia's FDI in the food industry in Riau Islands </w:t>
      </w:r>
      <w:r w:rsidR="00B809A3" w:rsidRPr="00B809A3">
        <w:rPr>
          <w:rFonts w:ascii="ShangralaW90-Regular" w:eastAsia="Cambria" w:hAnsi="ShangralaW90-Regular" w:cs="Cambria"/>
          <w:highlight w:val="green"/>
          <w:u w:color="FF0000"/>
        </w:rPr>
        <w:t>i</w:t>
      </w:r>
      <w:r w:rsidRPr="00B809A3">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significantly different from its FDI in other manufacturing subsectors.</w:t>
      </w:r>
    </w:p>
    <w:p w14:paraId="6A251C1C" w14:textId="77777777" w:rsidR="00C86BAE" w:rsidRPr="00C86BAE" w:rsidRDefault="003461B6" w:rsidP="00C86BAE">
      <w:pPr>
        <w:pStyle w:val="Body"/>
        <w:jc w:val="both"/>
        <w:rPr>
          <w:rFonts w:ascii="ShangralaW90-Regular" w:eastAsia="Cambria" w:hAnsi="ShangralaW90-Regular" w:cs="Cambria"/>
          <w:b/>
          <w:i/>
          <w:u w:color="FF0000"/>
        </w:rPr>
      </w:pPr>
      <w:r w:rsidRPr="00C86BAE">
        <w:rPr>
          <w:rFonts w:ascii="ShangralaW90-Regular" w:eastAsia="Cambria" w:hAnsi="ShangralaW90-Regular" w:cs="Cambria"/>
          <w:b/>
          <w:i/>
          <w:u w:color="FF0000"/>
        </w:rPr>
        <w:t>Hypothesis 9:</w:t>
      </w:r>
    </w:p>
    <w:p w14:paraId="2CB45037" w14:textId="77777777" w:rsidR="00B809A3" w:rsidRDefault="003461B6" w:rsidP="00B809A3">
      <w:pPr>
        <w:pStyle w:val="Body"/>
        <w:ind w:left="360" w:hanging="360"/>
        <w:jc w:val="both"/>
        <w:rPr>
          <w:rFonts w:ascii="ShangralaW90-Regular" w:eastAsia="Cambria" w:hAnsi="ShangralaW90-Regular" w:cs="Cambria"/>
          <w:u w:color="FF0000"/>
        </w:rPr>
      </w:pPr>
      <w:r w:rsidRPr="00B809A3">
        <w:rPr>
          <w:rFonts w:ascii="ShangralaW90-Regular" w:eastAsia="Cambria" w:hAnsi="ShangralaW90-Regular" w:cs="Cambria"/>
          <w:u w:color="FF0000"/>
        </w:rPr>
        <w:t>H</w:t>
      </w:r>
      <w:r w:rsidRPr="00B809A3">
        <w:rPr>
          <w:rFonts w:ascii="ShangralaW90-Regular" w:eastAsia="Cambria" w:hAnsi="ShangralaW90-Regular" w:cs="Cambria"/>
          <w:highlight w:val="green"/>
          <w:u w:color="FF0000"/>
          <w:vertAlign w:val="subscript"/>
        </w:rPr>
        <w:t>0</w:t>
      </w:r>
      <w:r w:rsidRPr="00C86BAE">
        <w:rPr>
          <w:rFonts w:ascii="ShangralaW90-Regular" w:eastAsia="Cambria" w:hAnsi="ShangralaW90-Regular" w:cs="Cambria"/>
          <w:u w:color="FF0000"/>
        </w:rPr>
        <w:t xml:space="preserve">: Malaysia’s FDI in logistics and communication in Riau Islands </w:t>
      </w:r>
      <w:r w:rsidRPr="00B809A3">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not significantly different from its FDI in other tertiary subsectors. </w:t>
      </w:r>
    </w:p>
    <w:p w14:paraId="1C7612FE" w14:textId="77777777" w:rsidR="00C86BAE" w:rsidRDefault="003461B6" w:rsidP="00B809A3">
      <w:pPr>
        <w:pStyle w:val="Body"/>
        <w:ind w:left="360" w:hanging="360"/>
        <w:jc w:val="both"/>
        <w:rPr>
          <w:rFonts w:ascii="ShangralaW90-Regular" w:eastAsia="Cambria" w:hAnsi="ShangralaW90-Regular" w:cs="Cambria"/>
          <w:u w:color="FF0000"/>
        </w:rPr>
      </w:pPr>
      <w:r w:rsidRPr="00B809A3">
        <w:rPr>
          <w:rFonts w:ascii="ShangralaW90-Regular" w:eastAsia="Cambria" w:hAnsi="ShangralaW90-Regular" w:cs="Cambria"/>
          <w:u w:color="FF0000"/>
        </w:rPr>
        <w:t>H</w:t>
      </w:r>
      <w:r w:rsidRPr="00B809A3">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Malaysia's FDI in logistics and communication in Riau Islands </w:t>
      </w:r>
      <w:r w:rsidR="00B809A3" w:rsidRPr="00B809A3">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 its FDI in other tertiary subsectors.</w:t>
      </w:r>
    </w:p>
    <w:p w14:paraId="78C358E9" w14:textId="77777777" w:rsidR="00C86BAE" w:rsidRPr="00C86BAE" w:rsidRDefault="00C86BAE" w:rsidP="00C86BAE">
      <w:pPr>
        <w:pStyle w:val="Body"/>
        <w:jc w:val="both"/>
        <w:rPr>
          <w:rFonts w:ascii="ShangralaW90-Regular" w:eastAsia="Cambria" w:hAnsi="ShangralaW90-Regular" w:cs="Cambria"/>
          <w:u w:color="FF0000"/>
        </w:rPr>
      </w:pPr>
    </w:p>
    <w:p w14:paraId="7936DD26" w14:textId="77777777" w:rsidR="001C76A0" w:rsidRPr="006079D5" w:rsidRDefault="003461B6" w:rsidP="00BA52D3">
      <w:pPr>
        <w:pStyle w:val="Body"/>
        <w:spacing w:after="240"/>
        <w:ind w:firstLine="540"/>
        <w:jc w:val="both"/>
        <w:rPr>
          <w:rFonts w:ascii="ShangralaW90-Regular" w:eastAsia="Cambria" w:hAnsi="ShangralaW90-Regular" w:cs="Cambria"/>
          <w:u w:color="FF0000"/>
        </w:rPr>
      </w:pPr>
      <w:r w:rsidRPr="00C86BAE">
        <w:rPr>
          <w:rFonts w:ascii="ShangralaW90-Regular" w:eastAsia="Cambria" w:hAnsi="ShangralaW90-Regular" w:cs="Cambria"/>
          <w:u w:color="FF0000"/>
        </w:rPr>
        <w:t xml:space="preserve">To provide the answers to the hypotheses, </w:t>
      </w:r>
      <w:r w:rsidRPr="00B809A3">
        <w:rPr>
          <w:rFonts w:ascii="ShangralaW90-Regular" w:eastAsia="Cambria" w:hAnsi="ShangralaW90-Regular" w:cs="Cambria"/>
          <w:highlight w:val="green"/>
          <w:u w:color="FF0000"/>
        </w:rPr>
        <w:t>author</w:t>
      </w:r>
      <w:r w:rsidR="00B809A3" w:rsidRPr="00B809A3">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collected time-series data from 1990 to 2020 from Indonesia's Ministry of Investment, Investment Coordinating Board formerly (NSWiMinistryofInvestment, n.d.), and thus data categorization in statistical analysis followed the categorization made by the Ministry of Investment. The data covered FDIs in Riau Islands by country origin, sectors, and subsectors. To prove the hypotheses, </w:t>
      </w:r>
      <w:r w:rsidRPr="00B809A3">
        <w:rPr>
          <w:rFonts w:ascii="ShangralaW90-Regular" w:eastAsia="Cambria" w:hAnsi="ShangralaW90-Regular" w:cs="Cambria"/>
          <w:highlight w:val="green"/>
          <w:u w:color="FF0000"/>
        </w:rPr>
        <w:t>author</w:t>
      </w:r>
      <w:r w:rsidR="00B809A3">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decided on the level of significance </w:t>
      </w:r>
      <w:r w:rsidRPr="00C86BAE">
        <w:rPr>
          <w:rFonts w:ascii="Cambria Math" w:eastAsia="Cambria" w:hAnsi="Cambria Math" w:cs="Cambria Math"/>
          <w:u w:color="FF0000"/>
        </w:rPr>
        <w:t>⍺</w:t>
      </w:r>
      <w:r w:rsidRPr="00C86BAE">
        <w:rPr>
          <w:rFonts w:ascii="ShangralaW90-Regular" w:eastAsia="Cambria" w:hAnsi="ShangralaW90-Regular" w:cs="Cambria"/>
          <w:u w:color="FF0000"/>
        </w:rPr>
        <w:t xml:space="preserve"> = 0.05 level or 5%. Then </w:t>
      </w:r>
      <w:r w:rsidRPr="00B809A3">
        <w:rPr>
          <w:rFonts w:ascii="ShangralaW90-Regular" w:eastAsia="Cambria" w:hAnsi="ShangralaW90-Regular" w:cs="Cambria"/>
          <w:highlight w:val="green"/>
          <w:u w:color="FF0000"/>
        </w:rPr>
        <w:t>author</w:t>
      </w:r>
      <w:r w:rsidR="00B809A3" w:rsidRPr="00B809A3">
        <w:rPr>
          <w:rFonts w:ascii="ShangralaW90-Regular" w:eastAsia="Cambria" w:hAnsi="ShangralaW90-Regular" w:cs="Cambria"/>
          <w:highlight w:val="green"/>
          <w:u w:color="FF0000"/>
        </w:rPr>
        <w:t>s</w:t>
      </w:r>
      <w:r w:rsidRPr="00C86BAE">
        <w:rPr>
          <w:rFonts w:ascii="ShangralaW90-Regular" w:eastAsia="Cambria" w:hAnsi="ShangralaW90-Regular" w:cs="Cambria"/>
          <w:u w:color="FF0000"/>
        </w:rPr>
        <w:t xml:space="preserve"> used a t-test (independent sample t-test) for two-variable comparison and analysis of variance (posthoc tests) for multiple-variable comparison. The null hypotheses would be rejected if the computed values were less than the level of significance of 0.05 for a two-tailed test.  </w:t>
      </w:r>
    </w:p>
    <w:p w14:paraId="48CEFA68" w14:textId="77777777" w:rsidR="006079D5" w:rsidRPr="000F2FB1" w:rsidRDefault="003461B6" w:rsidP="000F2FB1">
      <w:pPr>
        <w:pStyle w:val="Body"/>
        <w:spacing w:after="120"/>
        <w:jc w:val="both"/>
        <w:rPr>
          <w:rFonts w:ascii="Lato" w:eastAsia="Cambria" w:hAnsi="Lato" w:cs="Cambria"/>
          <w:b/>
          <w:color w:val="1F4E79" w:themeColor="accent5" w:themeShade="80"/>
          <w:sz w:val="24"/>
          <w:szCs w:val="24"/>
          <w:u w:color="FF0000"/>
        </w:rPr>
      </w:pPr>
      <w:r>
        <w:rPr>
          <w:rFonts w:ascii="Lato" w:eastAsia="Cambria" w:hAnsi="Lato" w:cs="Cambria"/>
          <w:b/>
          <w:color w:val="1F4E79" w:themeColor="accent5" w:themeShade="80"/>
          <w:sz w:val="24"/>
          <w:szCs w:val="24"/>
          <w:u w:color="FF0000"/>
        </w:rPr>
        <w:lastRenderedPageBreak/>
        <w:t>FDI in Riau Islands by Origin</w:t>
      </w:r>
    </w:p>
    <w:p w14:paraId="47694E82" w14:textId="77777777" w:rsidR="00C86BAE" w:rsidRPr="00C86BAE" w:rsidRDefault="003461B6" w:rsidP="00AD3226">
      <w:pPr>
        <w:pStyle w:val="Body"/>
        <w:ind w:firstLine="540"/>
        <w:jc w:val="both"/>
        <w:rPr>
          <w:rFonts w:ascii="ShangralaW90-Regular" w:eastAsia="Cambria" w:hAnsi="ShangralaW90-Regular" w:cs="Cambria"/>
          <w:u w:color="FF0000"/>
        </w:rPr>
      </w:pPr>
      <w:r w:rsidRPr="00C86BAE">
        <w:rPr>
          <w:rFonts w:ascii="ShangralaW90-Regular" w:eastAsia="Cambria" w:hAnsi="ShangralaW90-Regular" w:cs="Cambria"/>
          <w:u w:color="FF0000"/>
        </w:rPr>
        <w:t xml:space="preserve">Singapore's total FDI in Riau Islands was huge, that is USD 5.7 billion from 1990 to 2020, and the first largest investor after Sijori-GT cooperation. Singapore firstly invested in the non-manufacturing sector. Malaysia's total FDI in Riau Islands was USD 431.6 million from 1998 to 2020 and thus less than the total FDI from the group of East Asian Countries.  Malaysia's total FDI surpassed the total FDI from East Asian Countries only in 2000, 2008-2009, 2011-2012, and 2017. However, Malaysia's total FDI in Riau Islands was greater than the USA's total FDI (Figure 1).  </w:t>
      </w:r>
    </w:p>
    <w:p w14:paraId="2DF5AC31" w14:textId="77777777" w:rsidR="00C86BAE" w:rsidRDefault="003461B6" w:rsidP="00C86BAE">
      <w:pPr>
        <w:pStyle w:val="Body"/>
        <w:spacing w:before="120"/>
        <w:jc w:val="center"/>
        <w:rPr>
          <w:rFonts w:ascii="ShangralaW90-Regular" w:eastAsia="Cambria" w:hAnsi="ShangralaW90-Regular" w:cs="Cambria"/>
          <w:b/>
          <w:i/>
          <w:color w:val="000000" w:themeColor="text1"/>
          <w:u w:color="FF0000"/>
        </w:rPr>
      </w:pPr>
      <w:r>
        <w:rPr>
          <w:noProof/>
        </w:rPr>
        <w:drawing>
          <wp:inline distT="0" distB="0" distL="0" distR="0" wp14:anchorId="14C988FC" wp14:editId="1298D6EF">
            <wp:extent cx="5727700" cy="2578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27700" cy="2578100"/>
                    </a:xfrm>
                    <a:prstGeom prst="rect">
                      <a:avLst/>
                    </a:prstGeom>
                    <a:noFill/>
                    <a:ln>
                      <a:noFill/>
                    </a:ln>
                  </pic:spPr>
                </pic:pic>
              </a:graphicData>
            </a:graphic>
          </wp:inline>
        </w:drawing>
      </w:r>
    </w:p>
    <w:p w14:paraId="44DB9AE8" w14:textId="77777777" w:rsidR="00C86BAE" w:rsidRPr="00AF775F" w:rsidRDefault="003461B6" w:rsidP="00C86BAE">
      <w:pPr>
        <w:pStyle w:val="Body"/>
        <w:spacing w:before="120"/>
        <w:jc w:val="center"/>
        <w:rPr>
          <w:rFonts w:ascii="ShangralaW90-Regular" w:eastAsia="Cambria" w:hAnsi="ShangralaW90-Regular" w:cs="Cambria"/>
          <w:color w:val="000000" w:themeColor="text1"/>
          <w:u w:color="FF0000"/>
        </w:rPr>
      </w:pPr>
      <w:r w:rsidRPr="00AF775F">
        <w:rPr>
          <w:rFonts w:ascii="ShangralaW90-Regular" w:eastAsia="Cambria" w:hAnsi="ShangralaW90-Regular" w:cs="Cambria"/>
          <w:i/>
          <w:color w:val="000000" w:themeColor="text1"/>
          <w:u w:color="FF0000"/>
        </w:rPr>
        <w:t>Figure 1.</w:t>
      </w:r>
      <w:r w:rsidRPr="00AF775F">
        <w:rPr>
          <w:rFonts w:ascii="ShangralaW90-Regular" w:eastAsia="Cambria" w:hAnsi="ShangralaW90-Regular" w:cs="Cambria"/>
          <w:color w:val="000000" w:themeColor="text1"/>
          <w:u w:color="FF0000"/>
        </w:rPr>
        <w:t xml:space="preserve"> Total FDI by Country Origin in Riau Islands</w:t>
      </w:r>
    </w:p>
    <w:p w14:paraId="37D29E95" w14:textId="77777777" w:rsidR="00C86BAE" w:rsidRDefault="003461B6" w:rsidP="00C86BAE">
      <w:pPr>
        <w:pStyle w:val="Body"/>
        <w:spacing w:after="120"/>
        <w:jc w:val="center"/>
        <w:rPr>
          <w:rFonts w:ascii="ShangralaW90-Regular" w:eastAsia="Cambria" w:hAnsi="ShangralaW90-Regular" w:cs="Cambria"/>
          <w:color w:val="000000" w:themeColor="text1"/>
          <w:u w:color="FF0000"/>
        </w:rPr>
      </w:pPr>
      <w:r>
        <w:rPr>
          <w:rFonts w:ascii="ShangralaW90-Regular" w:eastAsia="Cambria" w:hAnsi="ShangralaW90-Regular" w:cs="Cambria"/>
          <w:color w:val="000000" w:themeColor="text1"/>
          <w:u w:color="FF0000"/>
        </w:rPr>
        <w:t>(</w:t>
      </w:r>
      <w:r w:rsidR="00AF775F">
        <w:rPr>
          <w:rFonts w:ascii="ShangralaW90-Regular" w:eastAsia="Cambria" w:hAnsi="ShangralaW90-Regular" w:cs="Cambria"/>
          <w:color w:val="000000" w:themeColor="text1"/>
          <w:u w:color="FF0000"/>
        </w:rPr>
        <w:t xml:space="preserve">Source: </w:t>
      </w:r>
      <w:r w:rsidRPr="00900A1C">
        <w:rPr>
          <w:rFonts w:ascii="ShangralaW90-Regular" w:eastAsia="Cambria" w:hAnsi="ShangralaW90-Regular" w:cs="Cambria"/>
          <w:color w:val="000000" w:themeColor="text1"/>
          <w:highlight w:val="green"/>
          <w:u w:color="FF0000"/>
        </w:rPr>
        <w:t>Author</w:t>
      </w:r>
      <w:r w:rsidR="001F3433" w:rsidRPr="00900A1C">
        <w:rPr>
          <w:rFonts w:ascii="ShangralaW90-Regular" w:eastAsia="Cambria" w:hAnsi="ShangralaW90-Regular" w:cs="Cambria"/>
          <w:color w:val="000000" w:themeColor="text1"/>
          <w:highlight w:val="green"/>
          <w:u w:color="FF0000"/>
        </w:rPr>
        <w:t>s</w:t>
      </w:r>
      <w:r w:rsidR="00F72E97" w:rsidRPr="00900A1C">
        <w:rPr>
          <w:rFonts w:ascii="ShangralaW90-Regular" w:eastAsia="Cambria" w:hAnsi="ShangralaW90-Regular" w:cs="Cambria"/>
          <w:color w:val="000000" w:themeColor="text1"/>
          <w:highlight w:val="green"/>
          <w:u w:color="FF0000"/>
        </w:rPr>
        <w:t>’</w:t>
      </w:r>
      <w:r w:rsidR="00F72E97">
        <w:rPr>
          <w:rFonts w:ascii="ShangralaW90-Regular" w:eastAsia="Cambria" w:hAnsi="ShangralaW90-Regular" w:cs="Cambria"/>
          <w:color w:val="000000" w:themeColor="text1"/>
          <w:u w:color="FF0000"/>
        </w:rPr>
        <w:t xml:space="preserve"> compilation</w:t>
      </w:r>
      <w:r w:rsidRPr="00C86BAE">
        <w:rPr>
          <w:rFonts w:ascii="ShangralaW90-Regular" w:eastAsia="Cambria" w:hAnsi="ShangralaW90-Regular" w:cs="Cambria"/>
          <w:color w:val="000000" w:themeColor="text1"/>
          <w:u w:color="FF0000"/>
        </w:rPr>
        <w:t xml:space="preserve"> based on data from NSWi Ministry of Investment (n.d.)</w:t>
      </w:r>
      <w:r>
        <w:rPr>
          <w:rFonts w:ascii="ShangralaW90-Regular" w:eastAsia="Cambria" w:hAnsi="ShangralaW90-Regular" w:cs="Cambria"/>
          <w:color w:val="000000" w:themeColor="text1"/>
          <w:u w:color="FF0000"/>
        </w:rPr>
        <w:t>)</w:t>
      </w:r>
    </w:p>
    <w:p w14:paraId="261A8DFA" w14:textId="77777777" w:rsidR="00C86BAE" w:rsidRPr="00A75BFE" w:rsidRDefault="003461B6" w:rsidP="00A75BFE">
      <w:pPr>
        <w:pStyle w:val="Body"/>
        <w:ind w:firstLine="540"/>
        <w:jc w:val="both"/>
        <w:rPr>
          <w:rFonts w:ascii="ShangralaW90-Regular" w:eastAsia="Cambria" w:hAnsi="ShangralaW90-Regular" w:cs="Cambria"/>
          <w:u w:color="FF0000"/>
        </w:rPr>
      </w:pPr>
      <w:r w:rsidRPr="00C86BAE">
        <w:rPr>
          <w:rFonts w:ascii="ShangralaW90-Regular" w:eastAsia="Cambria" w:hAnsi="ShangralaW90-Regular" w:cs="Cambria"/>
          <w:u w:color="FF0000"/>
        </w:rPr>
        <w:t xml:space="preserve">One-way ANOVA test (posthoc test) was conducted by comparing total FDI by country origin in Riau Islands. The output of the posthoc test (Tukey HSD) </w:t>
      </w:r>
      <w:r w:rsidRPr="00EA7D1D">
        <w:rPr>
          <w:rFonts w:ascii="ShangralaW90-Regular" w:eastAsia="Cambria" w:hAnsi="ShangralaW90-Regular" w:cs="Cambria"/>
          <w:highlight w:val="green"/>
          <w:u w:color="FF0000"/>
        </w:rPr>
        <w:t>demonstrates</w:t>
      </w:r>
      <w:r w:rsidRPr="00C86BAE">
        <w:rPr>
          <w:rFonts w:ascii="ShangralaW90-Regular" w:eastAsia="Cambria" w:hAnsi="ShangralaW90-Regular" w:cs="Cambria"/>
          <w:u w:color="FF0000"/>
        </w:rPr>
        <w:t xml:space="preserve"> that the comparison between total FDI from Singapore and other countries </w:t>
      </w:r>
      <w:r w:rsidRPr="00EA7D1D">
        <w:rPr>
          <w:rFonts w:ascii="ShangralaW90-Regular" w:eastAsia="Cambria" w:hAnsi="ShangralaW90-Regular" w:cs="Cambria"/>
          <w:highlight w:val="green"/>
          <w:u w:color="FF0000"/>
        </w:rPr>
        <w:t>has</w:t>
      </w:r>
      <w:r w:rsidRPr="00C86BAE">
        <w:rPr>
          <w:rFonts w:ascii="ShangralaW90-Regular" w:eastAsia="Cambria" w:hAnsi="ShangralaW90-Regular" w:cs="Cambria"/>
          <w:u w:color="FF0000"/>
        </w:rPr>
        <w:t xml:space="preserve"> the computed Sig values of 0.000 for all, which </w:t>
      </w:r>
      <w:r w:rsidRPr="00EA7D1D">
        <w:rPr>
          <w:rFonts w:ascii="ShangralaW90-Regular" w:eastAsia="Cambria" w:hAnsi="ShangralaW90-Regular" w:cs="Cambria"/>
          <w:highlight w:val="green"/>
          <w:u w:color="FF0000"/>
        </w:rPr>
        <w:t>are</w:t>
      </w:r>
      <w:r w:rsidRPr="00C86BAE">
        <w:rPr>
          <w:rFonts w:ascii="ShangralaW90-Regular" w:eastAsia="Cambria" w:hAnsi="ShangralaW90-Regular" w:cs="Cambria"/>
          <w:u w:color="FF0000"/>
        </w:rPr>
        <w:t xml:space="preserve"> less than the 0.05 significance level (Table 3). Thus, </w:t>
      </w:r>
      <w:r w:rsidRPr="00EA7D1D">
        <w:rPr>
          <w:rFonts w:ascii="ShangralaW90-Regular" w:eastAsia="Cambria" w:hAnsi="ShangralaW90-Regular" w:cs="Cambria"/>
          <w:highlight w:val="green"/>
          <w:u w:color="FF0000"/>
        </w:rPr>
        <w:t>authors</w:t>
      </w:r>
      <w:r w:rsidRPr="00C86BAE">
        <w:rPr>
          <w:rFonts w:ascii="ShangralaW90-Regular" w:eastAsia="Cambria" w:hAnsi="ShangralaW90-Regular" w:cs="Cambria"/>
          <w:u w:color="FF0000"/>
        </w:rPr>
        <w:t xml:space="preserve"> accepted </w:t>
      </w:r>
      <w:r w:rsidRPr="00EA7D1D">
        <w:rPr>
          <w:rFonts w:ascii="ShangralaW90-Regular" w:eastAsia="Cambria" w:hAnsi="ShangralaW90-Regular" w:cs="Cambria"/>
          <w:highlight w:val="green"/>
          <w:u w:color="FF0000"/>
        </w:rPr>
        <w:t>H</w:t>
      </w:r>
      <w:r w:rsidRPr="00EA7D1D">
        <w:rPr>
          <w:rFonts w:ascii="ShangralaW90-Regular" w:eastAsia="Cambria" w:hAnsi="ShangralaW90-Regular" w:cs="Cambria"/>
          <w:highlight w:val="green"/>
          <w:u w:color="FF0000"/>
          <w:vertAlign w:val="subscript"/>
        </w:rPr>
        <w:t>1</w:t>
      </w:r>
      <w:r w:rsidRPr="00C86BAE">
        <w:rPr>
          <w:rFonts w:ascii="ShangralaW90-Regular" w:eastAsia="Cambria" w:hAnsi="ShangralaW90-Regular" w:cs="Cambria"/>
          <w:u w:color="FF0000"/>
        </w:rPr>
        <w:t xml:space="preserve">, that is Singapore’s total FDI in Riau Islands </w:t>
      </w:r>
      <w:r w:rsidRPr="00EA7D1D">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significantly different from other countries’ total FDI under Hypothesis 1. The mean difference </w:t>
      </w:r>
      <w:r w:rsidRPr="00EA7D1D">
        <w:rPr>
          <w:rFonts w:ascii="ShangralaW90-Regular" w:eastAsia="Cambria" w:hAnsi="ShangralaW90-Regular" w:cs="Cambria"/>
          <w:highlight w:val="green"/>
          <w:u w:color="FF0000"/>
        </w:rPr>
        <w:t>is</w:t>
      </w:r>
      <w:r w:rsidRPr="00C86BAE">
        <w:rPr>
          <w:rFonts w:ascii="ShangralaW90-Regular" w:eastAsia="Cambria" w:hAnsi="ShangralaW90-Regular" w:cs="Cambria"/>
          <w:u w:color="FF0000"/>
        </w:rPr>
        <w:t xml:space="preserve"> positive, meaning the mean of Singapore’s total FDI </w:t>
      </w:r>
      <w:r>
        <w:rPr>
          <w:rFonts w:ascii="ShangralaW90-Regular" w:eastAsia="Cambria" w:hAnsi="ShangralaW90-Regular" w:cs="Cambria"/>
          <w:u w:color="FF0000"/>
        </w:rPr>
        <w:t>was</w:t>
      </w:r>
      <w:r w:rsidRPr="00C86BAE">
        <w:rPr>
          <w:rFonts w:ascii="ShangralaW90-Regular" w:eastAsia="Cambria" w:hAnsi="ShangralaW90-Regular" w:cs="Cambria"/>
          <w:u w:color="FF0000"/>
        </w:rPr>
        <w:t xml:space="preserve"> larger than the mean of total FDI from other countries.</w:t>
      </w:r>
    </w:p>
    <w:p w14:paraId="63C56D1C" w14:textId="24801172" w:rsidR="00C86BAE" w:rsidRDefault="003461B6" w:rsidP="00A75BFE">
      <w:pPr>
        <w:pStyle w:val="Body"/>
        <w:spacing w:after="120"/>
        <w:ind w:firstLine="540"/>
        <w:jc w:val="both"/>
        <w:rPr>
          <w:rFonts w:ascii="ShangralaW90-Regular" w:eastAsia="Cambria" w:hAnsi="ShangralaW90-Regular" w:cs="Cambria"/>
          <w:color w:val="000000" w:themeColor="text1"/>
          <w:u w:color="FF0000"/>
        </w:rPr>
      </w:pPr>
      <w:r w:rsidRPr="00C86BAE">
        <w:rPr>
          <w:rFonts w:ascii="ShangralaW90-Regular" w:eastAsia="Cambria" w:hAnsi="ShangralaW90-Regular" w:cs="Cambria"/>
          <w:color w:val="000000" w:themeColor="text1"/>
          <w:u w:color="FF0000"/>
        </w:rPr>
        <w:t xml:space="preserve">For the one-way ANOVA test of Malaysia's total investment, </w:t>
      </w:r>
      <w:r w:rsidRPr="00EA7D1D">
        <w:rPr>
          <w:rFonts w:ascii="ShangralaW90-Regular" w:eastAsia="Cambria" w:hAnsi="ShangralaW90-Regular" w:cs="Cambria"/>
          <w:color w:val="000000" w:themeColor="text1"/>
          <w:highlight w:val="green"/>
          <w:u w:color="FF0000"/>
        </w:rPr>
        <w:t>author</w:t>
      </w:r>
      <w:r w:rsidR="00EA7D1D" w:rsidRPr="00EA7D1D">
        <w:rPr>
          <w:rFonts w:ascii="ShangralaW90-Regular" w:eastAsia="Cambria" w:hAnsi="ShangralaW90-Regular" w:cs="Cambria"/>
          <w:color w:val="000000" w:themeColor="text1"/>
          <w:highlight w:val="green"/>
          <w:u w:color="FF0000"/>
        </w:rPr>
        <w:t>s</w:t>
      </w:r>
      <w:r w:rsidRPr="00C86BAE">
        <w:rPr>
          <w:rFonts w:ascii="ShangralaW90-Regular" w:eastAsia="Cambria" w:hAnsi="ShangralaW90-Regular" w:cs="Cambria"/>
          <w:color w:val="000000" w:themeColor="text1"/>
          <w:u w:color="FF0000"/>
        </w:rPr>
        <w:t xml:space="preserve"> did not consider a comparison between Malaysia and Singapore because it was already described in the Singaporean case to avoid redundancy. Instead, </w:t>
      </w:r>
      <w:r w:rsidRPr="00EA7D1D">
        <w:rPr>
          <w:rFonts w:ascii="ShangralaW90-Regular" w:eastAsia="Cambria" w:hAnsi="ShangralaW90-Regular" w:cs="Cambria"/>
          <w:color w:val="000000" w:themeColor="text1"/>
          <w:highlight w:val="green"/>
          <w:u w:color="FF0000"/>
        </w:rPr>
        <w:t>author</w:t>
      </w:r>
      <w:r w:rsidR="00EA7D1D" w:rsidRPr="00EA7D1D">
        <w:rPr>
          <w:rFonts w:ascii="ShangralaW90-Regular" w:eastAsia="Cambria" w:hAnsi="ShangralaW90-Regular" w:cs="Cambria"/>
          <w:color w:val="000000" w:themeColor="text1"/>
          <w:highlight w:val="green"/>
          <w:u w:color="FF0000"/>
        </w:rPr>
        <w:t>s</w:t>
      </w:r>
      <w:r w:rsidRPr="00C86BAE">
        <w:rPr>
          <w:rFonts w:ascii="ShangralaW90-Regular" w:eastAsia="Cambria" w:hAnsi="ShangralaW90-Regular" w:cs="Cambria"/>
          <w:color w:val="000000" w:themeColor="text1"/>
          <w:u w:color="FF0000"/>
        </w:rPr>
        <w:t xml:space="preserve"> compared Malaysia’s total investment with East Asian Countries’ and </w:t>
      </w:r>
      <w:r w:rsidR="00B31035">
        <w:rPr>
          <w:rFonts w:ascii="ShangralaW90-Regular" w:eastAsia="Cambria" w:hAnsi="ShangralaW90-Regular" w:cs="Cambria"/>
          <w:color w:val="000000" w:themeColor="text1"/>
          <w:u w:color="FF0000"/>
        </w:rPr>
        <w:t>US</w:t>
      </w:r>
      <w:r w:rsidRPr="00C86BAE">
        <w:rPr>
          <w:rFonts w:ascii="ShangralaW90-Regular" w:eastAsia="Cambria" w:hAnsi="ShangralaW90-Regular" w:cs="Cambria"/>
          <w:color w:val="000000" w:themeColor="text1"/>
          <w:u w:color="FF0000"/>
        </w:rPr>
        <w:t xml:space="preserve">’ total investment that the computed Sig values </w:t>
      </w:r>
      <w:r w:rsidR="00EA7D1D" w:rsidRPr="00EA7D1D">
        <w:rPr>
          <w:rFonts w:ascii="ShangralaW90-Regular" w:eastAsia="Cambria" w:hAnsi="ShangralaW90-Regular" w:cs="Cambria"/>
          <w:color w:val="000000" w:themeColor="text1"/>
          <w:highlight w:val="green"/>
          <w:u w:color="FF0000"/>
        </w:rPr>
        <w:t>are</w:t>
      </w:r>
      <w:r w:rsidRPr="00C86BAE">
        <w:rPr>
          <w:rFonts w:ascii="ShangralaW90-Regular" w:eastAsia="Cambria" w:hAnsi="ShangralaW90-Regular" w:cs="Cambria"/>
          <w:color w:val="000000" w:themeColor="text1"/>
          <w:u w:color="FF0000"/>
        </w:rPr>
        <w:t xml:space="preserve"> greater than the 0.05 significance level (Table 3)</w:t>
      </w:r>
      <w:r w:rsidR="00A75BFE">
        <w:rPr>
          <w:rFonts w:ascii="ShangralaW90-Regular" w:eastAsia="Cambria" w:hAnsi="ShangralaW90-Regular" w:cs="Cambria"/>
          <w:color w:val="000000" w:themeColor="text1"/>
          <w:u w:color="FF0000"/>
        </w:rPr>
        <w:t>, meaning</w:t>
      </w:r>
      <w:r w:rsidRPr="00C86BAE">
        <w:rPr>
          <w:rFonts w:ascii="ShangralaW90-Regular" w:eastAsia="Cambria" w:hAnsi="ShangralaW90-Regular" w:cs="Cambria"/>
          <w:color w:val="000000" w:themeColor="text1"/>
          <w:u w:color="FF0000"/>
        </w:rPr>
        <w:t xml:space="preserve"> </w:t>
      </w:r>
      <w:r w:rsidRPr="00EA7D1D">
        <w:rPr>
          <w:rFonts w:ascii="ShangralaW90-Regular" w:eastAsia="Cambria" w:hAnsi="ShangralaW90-Regular" w:cs="Cambria"/>
          <w:color w:val="000000" w:themeColor="text1"/>
          <w:highlight w:val="green"/>
          <w:u w:color="FF0000"/>
        </w:rPr>
        <w:t>author</w:t>
      </w:r>
      <w:r w:rsidR="00EA7D1D" w:rsidRPr="00EA7D1D">
        <w:rPr>
          <w:rFonts w:ascii="ShangralaW90-Regular" w:eastAsia="Cambria" w:hAnsi="ShangralaW90-Regular" w:cs="Cambria"/>
          <w:color w:val="000000" w:themeColor="text1"/>
          <w:highlight w:val="green"/>
          <w:u w:color="FF0000"/>
        </w:rPr>
        <w:t>s</w:t>
      </w:r>
      <w:r w:rsidRPr="00C86BAE">
        <w:rPr>
          <w:rFonts w:ascii="ShangralaW90-Regular" w:eastAsia="Cambria" w:hAnsi="ShangralaW90-Regular" w:cs="Cambria"/>
          <w:color w:val="000000" w:themeColor="text1"/>
          <w:u w:color="FF0000"/>
        </w:rPr>
        <w:t xml:space="preserve"> failed to reject </w:t>
      </w:r>
      <w:r w:rsidRPr="00EA7D1D">
        <w:rPr>
          <w:rFonts w:ascii="ShangralaW90-Regular" w:eastAsia="Cambria" w:hAnsi="ShangralaW90-Regular" w:cs="Cambria"/>
          <w:color w:val="000000" w:themeColor="text1"/>
          <w:highlight w:val="green"/>
          <w:u w:color="FF0000"/>
        </w:rPr>
        <w:t>H</w:t>
      </w:r>
      <w:r w:rsidRPr="00EA7D1D">
        <w:rPr>
          <w:rFonts w:ascii="ShangralaW90-Regular" w:eastAsia="Cambria" w:hAnsi="ShangralaW90-Regular" w:cs="Cambria"/>
          <w:color w:val="000000" w:themeColor="text1"/>
          <w:highlight w:val="green"/>
          <w:u w:color="FF0000"/>
          <w:vertAlign w:val="subscript"/>
        </w:rPr>
        <w:t>0</w:t>
      </w:r>
      <w:r w:rsidRPr="00EA7D1D">
        <w:rPr>
          <w:rFonts w:ascii="ShangralaW90-Regular" w:eastAsia="Cambria" w:hAnsi="ShangralaW90-Regular" w:cs="Cambria"/>
          <w:color w:val="000000" w:themeColor="text1"/>
          <w:highlight w:val="green"/>
          <w:u w:color="FF0000"/>
        </w:rPr>
        <w:t>,</w:t>
      </w:r>
      <w:r w:rsidRPr="00C86BAE">
        <w:rPr>
          <w:rFonts w:ascii="ShangralaW90-Regular" w:eastAsia="Cambria" w:hAnsi="ShangralaW90-Regular" w:cs="Cambria"/>
          <w:color w:val="000000" w:themeColor="text1"/>
          <w:u w:color="FF0000"/>
        </w:rPr>
        <w:t xml:space="preserve"> that is Malaysia's total FDI </w:t>
      </w:r>
      <w:r w:rsidR="00EA7D1D" w:rsidRPr="00EA7D1D">
        <w:rPr>
          <w:rFonts w:ascii="ShangralaW90-Regular" w:eastAsia="Cambria" w:hAnsi="ShangralaW90-Regular" w:cs="Cambria"/>
          <w:color w:val="000000" w:themeColor="text1"/>
          <w:highlight w:val="green"/>
          <w:u w:color="FF0000"/>
        </w:rPr>
        <w:t>is</w:t>
      </w:r>
      <w:r w:rsidR="00EA7D1D">
        <w:rPr>
          <w:rFonts w:ascii="ShangralaW90-Regular" w:eastAsia="Cambria" w:hAnsi="ShangralaW90-Regular" w:cs="Cambria"/>
          <w:color w:val="000000" w:themeColor="text1"/>
          <w:u w:color="FF0000"/>
        </w:rPr>
        <w:t xml:space="preserve"> </w:t>
      </w:r>
      <w:r w:rsidRPr="00C86BAE">
        <w:rPr>
          <w:rFonts w:ascii="ShangralaW90-Regular" w:eastAsia="Cambria" w:hAnsi="ShangralaW90-Regular" w:cs="Cambria"/>
          <w:color w:val="000000" w:themeColor="text1"/>
          <w:u w:color="FF0000"/>
        </w:rPr>
        <w:t xml:space="preserve">not significantly different from the total FDI from other countries (Hypothesis 1). The mean difference </w:t>
      </w:r>
      <w:r w:rsidR="00EA7D1D" w:rsidRPr="00EA7D1D">
        <w:rPr>
          <w:rFonts w:ascii="ShangralaW90-Regular" w:eastAsia="Cambria" w:hAnsi="ShangralaW90-Regular" w:cs="Cambria"/>
          <w:color w:val="000000" w:themeColor="text1"/>
          <w:highlight w:val="green"/>
          <w:u w:color="FF0000"/>
        </w:rPr>
        <w:t>is</w:t>
      </w:r>
      <w:r w:rsidRPr="00C86BAE">
        <w:rPr>
          <w:rFonts w:ascii="ShangralaW90-Regular" w:eastAsia="Cambria" w:hAnsi="ShangralaW90-Regular" w:cs="Cambria"/>
          <w:color w:val="000000" w:themeColor="text1"/>
          <w:u w:color="FF0000"/>
        </w:rPr>
        <w:t xml:space="preserve"> negative for East Asian Countries, meaning the mean of Malaysia’s total investment </w:t>
      </w:r>
      <w:r w:rsidR="006B1063">
        <w:rPr>
          <w:rFonts w:ascii="ShangralaW90-Regular" w:eastAsia="Cambria" w:hAnsi="ShangralaW90-Regular" w:cs="Cambria"/>
          <w:color w:val="000000" w:themeColor="text1"/>
          <w:u w:color="FF0000"/>
        </w:rPr>
        <w:t>wa</w:t>
      </w:r>
      <w:r w:rsidRPr="006B1063">
        <w:rPr>
          <w:rFonts w:ascii="ShangralaW90-Regular" w:eastAsia="Cambria" w:hAnsi="ShangralaW90-Regular" w:cs="Cambria"/>
          <w:color w:val="000000" w:themeColor="text1"/>
          <w:u w:color="FF0000"/>
        </w:rPr>
        <w:t>s less</w:t>
      </w:r>
      <w:r w:rsidRPr="00C86BAE">
        <w:rPr>
          <w:rFonts w:ascii="ShangralaW90-Regular" w:eastAsia="Cambria" w:hAnsi="ShangralaW90-Regular" w:cs="Cambria"/>
          <w:color w:val="000000" w:themeColor="text1"/>
          <w:u w:color="FF0000"/>
        </w:rPr>
        <w:t xml:space="preserve"> than the means of total investment from East Asian countries. The mean difference </w:t>
      </w:r>
      <w:r w:rsidR="00EA7D1D" w:rsidRPr="00EA7D1D">
        <w:rPr>
          <w:rFonts w:ascii="ShangralaW90-Regular" w:eastAsia="Cambria" w:hAnsi="ShangralaW90-Regular" w:cs="Cambria"/>
          <w:color w:val="000000" w:themeColor="text1"/>
          <w:highlight w:val="green"/>
          <w:u w:color="FF0000"/>
        </w:rPr>
        <w:t>i</w:t>
      </w:r>
      <w:r w:rsidRPr="00EA7D1D">
        <w:rPr>
          <w:rFonts w:ascii="ShangralaW90-Regular" w:eastAsia="Cambria" w:hAnsi="ShangralaW90-Regular" w:cs="Cambria"/>
          <w:color w:val="000000" w:themeColor="text1"/>
          <w:highlight w:val="green"/>
          <w:u w:color="FF0000"/>
        </w:rPr>
        <w:t>s</w:t>
      </w:r>
      <w:r w:rsidRPr="00C86BAE">
        <w:rPr>
          <w:rFonts w:ascii="ShangralaW90-Regular" w:eastAsia="Cambria" w:hAnsi="ShangralaW90-Regular" w:cs="Cambria"/>
          <w:color w:val="000000" w:themeColor="text1"/>
          <w:u w:color="FF0000"/>
        </w:rPr>
        <w:t xml:space="preserve"> positive for the </w:t>
      </w:r>
      <w:r w:rsidR="00B31035">
        <w:rPr>
          <w:rFonts w:ascii="ShangralaW90-Regular" w:eastAsia="Cambria" w:hAnsi="ShangralaW90-Regular" w:cs="Cambria"/>
          <w:color w:val="000000" w:themeColor="text1"/>
          <w:u w:color="FF0000"/>
        </w:rPr>
        <w:t>US</w:t>
      </w:r>
      <w:r w:rsidRPr="00C86BAE">
        <w:rPr>
          <w:rFonts w:ascii="ShangralaW90-Regular" w:eastAsia="Cambria" w:hAnsi="ShangralaW90-Regular" w:cs="Cambria"/>
          <w:color w:val="000000" w:themeColor="text1"/>
          <w:u w:color="FF0000"/>
        </w:rPr>
        <w:t xml:space="preserve">, meaning the mean of Malaysia's total investment </w:t>
      </w:r>
      <w:r w:rsidR="006B1063">
        <w:rPr>
          <w:rFonts w:ascii="ShangralaW90-Regular" w:eastAsia="Cambria" w:hAnsi="ShangralaW90-Regular" w:cs="Cambria"/>
          <w:color w:val="000000" w:themeColor="text1"/>
          <w:u w:color="FF0000"/>
        </w:rPr>
        <w:t>was</w:t>
      </w:r>
      <w:r w:rsidRPr="00C86BAE">
        <w:rPr>
          <w:rFonts w:ascii="ShangralaW90-Regular" w:eastAsia="Cambria" w:hAnsi="ShangralaW90-Regular" w:cs="Cambria"/>
          <w:color w:val="000000" w:themeColor="text1"/>
          <w:u w:color="FF0000"/>
        </w:rPr>
        <w:t xml:space="preserve"> greater than the mean of the </w:t>
      </w:r>
      <w:r w:rsidR="00B31035">
        <w:rPr>
          <w:rFonts w:ascii="ShangralaW90-Regular" w:eastAsia="Cambria" w:hAnsi="ShangralaW90-Regular" w:cs="Cambria"/>
          <w:color w:val="000000" w:themeColor="text1"/>
          <w:u w:color="FF0000"/>
        </w:rPr>
        <w:t>US</w:t>
      </w:r>
      <w:r w:rsidRPr="00C86BAE">
        <w:rPr>
          <w:rFonts w:ascii="ShangralaW90-Regular" w:eastAsia="Cambria" w:hAnsi="ShangralaW90-Regular" w:cs="Cambria"/>
          <w:color w:val="000000" w:themeColor="text1"/>
          <w:u w:color="FF0000"/>
        </w:rPr>
        <w:t>' total investment.</w:t>
      </w:r>
    </w:p>
    <w:p w14:paraId="6363DE7E" w14:textId="095B721A" w:rsidR="00BB01C2" w:rsidRDefault="00BB01C2" w:rsidP="00A75BFE">
      <w:pPr>
        <w:pStyle w:val="Body"/>
        <w:spacing w:after="120"/>
        <w:ind w:firstLine="540"/>
        <w:jc w:val="both"/>
        <w:rPr>
          <w:rFonts w:ascii="ShangralaW90-Regular" w:eastAsia="Cambria" w:hAnsi="ShangralaW90-Regular" w:cs="Cambria"/>
          <w:color w:val="000000" w:themeColor="text1"/>
          <w:u w:color="FF0000"/>
        </w:rPr>
      </w:pPr>
    </w:p>
    <w:p w14:paraId="1434F942" w14:textId="77777777" w:rsidR="00BB01C2" w:rsidRPr="00C86BAE" w:rsidRDefault="00BB01C2" w:rsidP="00A75BFE">
      <w:pPr>
        <w:pStyle w:val="Body"/>
        <w:spacing w:after="120"/>
        <w:ind w:firstLine="540"/>
        <w:jc w:val="both"/>
        <w:rPr>
          <w:rFonts w:ascii="ShangralaW90-Regular" w:eastAsia="Cambria" w:hAnsi="ShangralaW90-Regular" w:cs="Cambria"/>
          <w:color w:val="000000" w:themeColor="text1"/>
          <w:u w:color="FF0000"/>
        </w:rPr>
      </w:pPr>
    </w:p>
    <w:p w14:paraId="27F7BB57" w14:textId="77777777" w:rsidR="009E50CA" w:rsidRPr="00AF775F" w:rsidRDefault="003461B6" w:rsidP="009E50CA">
      <w:pPr>
        <w:pStyle w:val="Body"/>
        <w:spacing w:after="240"/>
        <w:jc w:val="center"/>
        <w:rPr>
          <w:rFonts w:ascii="ShangralaW90-Regular" w:eastAsia="Cambria" w:hAnsi="ShangralaW90-Regular" w:cs="Cambria"/>
          <w:i/>
          <w:color w:val="000000" w:themeColor="text1"/>
          <w:u w:color="FF0000"/>
        </w:rPr>
      </w:pPr>
      <w:r w:rsidRPr="00AF775F">
        <w:rPr>
          <w:rFonts w:ascii="ShangralaW90-Regular" w:eastAsia="Cambria" w:hAnsi="ShangralaW90-Regular" w:cs="Cambria"/>
          <w:color w:val="000000" w:themeColor="text1"/>
          <w:u w:color="FF0000"/>
        </w:rPr>
        <w:lastRenderedPageBreak/>
        <w:t xml:space="preserve">Table 3. </w:t>
      </w:r>
      <w:r w:rsidRPr="00AF775F">
        <w:rPr>
          <w:rFonts w:ascii="ShangralaW90-Regular" w:eastAsia="Cambria" w:hAnsi="ShangralaW90-Regular" w:cs="Cambria"/>
          <w:i/>
          <w:color w:val="000000" w:themeColor="text1"/>
          <w:u w:color="FF0000"/>
        </w:rPr>
        <w:t>The output of the ANOVA Test (Post-Hoc Test: Tukey HSD) for Mean Comparison of FDIs in Riau Islands by Country Origin</w:t>
      </w:r>
    </w:p>
    <w:tbl>
      <w:tblPr>
        <w:tblStyle w:val="TableGrid"/>
        <w:tblW w:w="4897" w:type="pct"/>
        <w:jc w:val="center"/>
        <w:tblLayout w:type="fixed"/>
        <w:tblLook w:val="04A0" w:firstRow="1" w:lastRow="0" w:firstColumn="1" w:lastColumn="0" w:noHBand="0" w:noVBand="1"/>
      </w:tblPr>
      <w:tblGrid>
        <w:gridCol w:w="2106"/>
        <w:gridCol w:w="1865"/>
        <w:gridCol w:w="2416"/>
        <w:gridCol w:w="1288"/>
        <w:gridCol w:w="1149"/>
      </w:tblGrid>
      <w:tr w:rsidR="00A34600" w:rsidRPr="00412070" w14:paraId="2DCB4391" w14:textId="77777777" w:rsidTr="009E50CA">
        <w:trPr>
          <w:trHeight w:val="645"/>
          <w:tblHeader/>
          <w:jc w:val="center"/>
        </w:trPr>
        <w:tc>
          <w:tcPr>
            <w:tcW w:w="1193" w:type="pct"/>
            <w:tcBorders>
              <w:right w:val="nil"/>
            </w:tcBorders>
          </w:tcPr>
          <w:p w14:paraId="65DACF38" w14:textId="77777777" w:rsidR="00C86BAE"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Treatment</w:t>
            </w:r>
          </w:p>
        </w:tc>
        <w:tc>
          <w:tcPr>
            <w:tcW w:w="1057" w:type="pct"/>
            <w:tcBorders>
              <w:left w:val="nil"/>
              <w:right w:val="nil"/>
            </w:tcBorders>
          </w:tcPr>
          <w:p w14:paraId="164C96A6" w14:textId="77777777" w:rsidR="00C86BAE"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Control Group</w:t>
            </w:r>
          </w:p>
        </w:tc>
        <w:tc>
          <w:tcPr>
            <w:tcW w:w="1369" w:type="pct"/>
            <w:tcBorders>
              <w:left w:val="nil"/>
              <w:right w:val="nil"/>
            </w:tcBorders>
          </w:tcPr>
          <w:p w14:paraId="133C2916" w14:textId="77777777" w:rsidR="00C86BAE"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Mean Difference  (Thousand USD)</w:t>
            </w:r>
          </w:p>
        </w:tc>
        <w:tc>
          <w:tcPr>
            <w:tcW w:w="730" w:type="pct"/>
            <w:tcBorders>
              <w:left w:val="nil"/>
              <w:right w:val="nil"/>
            </w:tcBorders>
          </w:tcPr>
          <w:p w14:paraId="0600EF1D" w14:textId="77777777" w:rsidR="00C86BAE"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Std Error</w:t>
            </w:r>
          </w:p>
        </w:tc>
        <w:tc>
          <w:tcPr>
            <w:tcW w:w="651" w:type="pct"/>
            <w:tcBorders>
              <w:left w:val="nil"/>
            </w:tcBorders>
          </w:tcPr>
          <w:p w14:paraId="6CE1CEE6" w14:textId="77777777" w:rsidR="00C86BAE"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Sig</w:t>
            </w:r>
          </w:p>
        </w:tc>
      </w:tr>
      <w:tr w:rsidR="00A34600" w:rsidRPr="00412070" w14:paraId="1B3572F0" w14:textId="77777777" w:rsidTr="00C86BAE">
        <w:trPr>
          <w:trHeight w:val="322"/>
          <w:jc w:val="center"/>
        </w:trPr>
        <w:tc>
          <w:tcPr>
            <w:tcW w:w="5000" w:type="pct"/>
            <w:gridSpan w:val="5"/>
            <w:tcBorders>
              <w:bottom w:val="nil"/>
            </w:tcBorders>
          </w:tcPr>
          <w:p w14:paraId="69EBEECF" w14:textId="77777777" w:rsidR="00C86BAE" w:rsidRPr="00412070" w:rsidRDefault="003461B6" w:rsidP="00412070">
            <w:pPr>
              <w:rPr>
                <w:rFonts w:ascii="ShangralaW90-Regular" w:hAnsi="ShangralaW90-Regular"/>
                <w:b/>
                <w:bCs/>
                <w:sz w:val="20"/>
                <w:szCs w:val="20"/>
                <w:lang w:val="id-ID"/>
              </w:rPr>
            </w:pPr>
            <w:r w:rsidRPr="00412070">
              <w:rPr>
                <w:rFonts w:ascii="ShangralaW90-Regular" w:hAnsi="ShangralaW90-Regular"/>
                <w:sz w:val="20"/>
                <w:szCs w:val="20"/>
                <w:lang w:val="id-ID"/>
              </w:rPr>
              <w:t>Total FDI in Riau Islands by Origin</w:t>
            </w:r>
          </w:p>
        </w:tc>
      </w:tr>
      <w:tr w:rsidR="00A34600" w:rsidRPr="00412070" w14:paraId="6EE8E467" w14:textId="77777777" w:rsidTr="00553C92">
        <w:trPr>
          <w:trHeight w:val="990"/>
          <w:jc w:val="center"/>
        </w:trPr>
        <w:tc>
          <w:tcPr>
            <w:tcW w:w="1193" w:type="pct"/>
            <w:tcBorders>
              <w:top w:val="nil"/>
              <w:bottom w:val="nil"/>
              <w:right w:val="nil"/>
            </w:tcBorders>
          </w:tcPr>
          <w:p w14:paraId="6C871EB4"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Singapore</w:t>
            </w:r>
            <w:r w:rsidRPr="00412070">
              <w:rPr>
                <w:rFonts w:ascii="ShangralaW90-Regular" w:hAnsi="ShangralaW90-Regular"/>
                <w:sz w:val="20"/>
                <w:szCs w:val="20"/>
              </w:rPr>
              <w:t xml:space="preserve"> </w:t>
            </w:r>
          </w:p>
          <w:p w14:paraId="16B1BE1A"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rPr>
              <w:t>(n: 31)</w:t>
            </w:r>
          </w:p>
          <w:p w14:paraId="3BD6B5B3" w14:textId="77777777" w:rsidR="00C86BAE" w:rsidRPr="00412070" w:rsidRDefault="00C86BAE" w:rsidP="00412070">
            <w:pPr>
              <w:rPr>
                <w:rFonts w:ascii="ShangralaW90-Regular" w:hAnsi="ShangralaW90-Regular"/>
                <w:sz w:val="20"/>
                <w:szCs w:val="20"/>
                <w:lang w:val="id-ID"/>
              </w:rPr>
            </w:pPr>
          </w:p>
        </w:tc>
        <w:tc>
          <w:tcPr>
            <w:tcW w:w="1057" w:type="pct"/>
            <w:tcBorders>
              <w:top w:val="nil"/>
              <w:left w:val="nil"/>
              <w:bottom w:val="nil"/>
              <w:right w:val="nil"/>
            </w:tcBorders>
          </w:tcPr>
          <w:p w14:paraId="37056E18"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East Asia</w:t>
            </w:r>
            <w:r w:rsidRPr="00412070">
              <w:rPr>
                <w:rFonts w:ascii="ShangralaW90-Regular" w:hAnsi="ShangralaW90-Regular"/>
                <w:sz w:val="20"/>
                <w:szCs w:val="20"/>
              </w:rPr>
              <w:t xml:space="preserve"> (n: 31)</w:t>
            </w:r>
          </w:p>
          <w:p w14:paraId="665D4EEE"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Malaysia</w:t>
            </w:r>
            <w:r w:rsidRPr="00412070">
              <w:rPr>
                <w:rFonts w:ascii="ShangralaW90-Regular" w:hAnsi="ShangralaW90-Regular"/>
                <w:sz w:val="20"/>
                <w:szCs w:val="20"/>
              </w:rPr>
              <w:t xml:space="preserve"> (n: 31)</w:t>
            </w:r>
          </w:p>
          <w:p w14:paraId="24A9F3DA"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US</w:t>
            </w:r>
            <w:r w:rsidRPr="00412070">
              <w:rPr>
                <w:rFonts w:ascii="ShangralaW90-Regular" w:hAnsi="ShangralaW90-Regular"/>
                <w:sz w:val="20"/>
                <w:szCs w:val="20"/>
              </w:rPr>
              <w:t xml:space="preserve"> (n: 24)</w:t>
            </w:r>
          </w:p>
        </w:tc>
        <w:tc>
          <w:tcPr>
            <w:tcW w:w="1369" w:type="pct"/>
            <w:tcBorders>
              <w:top w:val="nil"/>
              <w:left w:val="nil"/>
              <w:bottom w:val="nil"/>
              <w:right w:val="nil"/>
            </w:tcBorders>
          </w:tcPr>
          <w:p w14:paraId="26FCC18C"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158727.79*</w:t>
            </w:r>
          </w:p>
          <w:p w14:paraId="4999D90C"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170480.84*</w:t>
            </w:r>
          </w:p>
          <w:p w14:paraId="2E287C4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181285.24*</w:t>
            </w:r>
          </w:p>
        </w:tc>
        <w:tc>
          <w:tcPr>
            <w:tcW w:w="730" w:type="pct"/>
            <w:tcBorders>
              <w:top w:val="nil"/>
              <w:left w:val="nil"/>
              <w:bottom w:val="nil"/>
              <w:right w:val="nil"/>
            </w:tcBorders>
          </w:tcPr>
          <w:p w14:paraId="62336363"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36813.75</w:t>
            </w:r>
          </w:p>
          <w:p w14:paraId="6878B962"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36813.75</w:t>
            </w:r>
          </w:p>
          <w:p w14:paraId="7A6CDE6F"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39406.76</w:t>
            </w:r>
          </w:p>
        </w:tc>
        <w:tc>
          <w:tcPr>
            <w:tcW w:w="651" w:type="pct"/>
            <w:tcBorders>
              <w:top w:val="nil"/>
              <w:left w:val="nil"/>
              <w:bottom w:val="nil"/>
            </w:tcBorders>
          </w:tcPr>
          <w:p w14:paraId="3D9E2F8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p w14:paraId="78911FFB"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p w14:paraId="7284E242"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tc>
      </w:tr>
      <w:tr w:rsidR="00A34600" w:rsidRPr="00412070" w14:paraId="550B7F74" w14:textId="77777777" w:rsidTr="009E50CA">
        <w:trPr>
          <w:trHeight w:val="819"/>
          <w:jc w:val="center"/>
        </w:trPr>
        <w:tc>
          <w:tcPr>
            <w:tcW w:w="1193" w:type="pct"/>
            <w:tcBorders>
              <w:top w:val="nil"/>
              <w:bottom w:val="single" w:sz="4" w:space="0" w:color="000000"/>
              <w:right w:val="nil"/>
            </w:tcBorders>
          </w:tcPr>
          <w:p w14:paraId="778F28F1"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Malaysia</w:t>
            </w:r>
          </w:p>
          <w:p w14:paraId="4A22AA8C"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rPr>
              <w:t>(n: 31)</w:t>
            </w:r>
          </w:p>
        </w:tc>
        <w:tc>
          <w:tcPr>
            <w:tcW w:w="1057" w:type="pct"/>
            <w:tcBorders>
              <w:top w:val="nil"/>
              <w:left w:val="nil"/>
              <w:bottom w:val="single" w:sz="4" w:space="0" w:color="000000"/>
              <w:right w:val="nil"/>
            </w:tcBorders>
          </w:tcPr>
          <w:p w14:paraId="2EF5A696"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Singapore</w:t>
            </w:r>
            <w:r w:rsidRPr="00412070">
              <w:rPr>
                <w:rFonts w:ascii="ShangralaW90-Regular" w:hAnsi="ShangralaW90-Regular"/>
                <w:sz w:val="20"/>
                <w:szCs w:val="20"/>
              </w:rPr>
              <w:t xml:space="preserve"> (n: 31)</w:t>
            </w:r>
          </w:p>
          <w:p w14:paraId="21048749"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East Asia</w:t>
            </w:r>
            <w:r w:rsidRPr="00412070">
              <w:rPr>
                <w:rFonts w:ascii="ShangralaW90-Regular" w:hAnsi="ShangralaW90-Regular"/>
                <w:sz w:val="20"/>
                <w:szCs w:val="20"/>
              </w:rPr>
              <w:t xml:space="preserve"> (n: 31)</w:t>
            </w:r>
          </w:p>
          <w:p w14:paraId="45C6B73D"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US</w:t>
            </w:r>
            <w:r w:rsidRPr="00412070">
              <w:rPr>
                <w:rFonts w:ascii="ShangralaW90-Regular" w:hAnsi="ShangralaW90-Regular"/>
                <w:sz w:val="20"/>
                <w:szCs w:val="20"/>
              </w:rPr>
              <w:t xml:space="preserve"> (n: 24)</w:t>
            </w:r>
          </w:p>
        </w:tc>
        <w:tc>
          <w:tcPr>
            <w:tcW w:w="1369" w:type="pct"/>
            <w:tcBorders>
              <w:top w:val="nil"/>
              <w:left w:val="nil"/>
              <w:bottom w:val="single" w:sz="4" w:space="0" w:color="000000"/>
              <w:right w:val="nil"/>
            </w:tcBorders>
          </w:tcPr>
          <w:p w14:paraId="73707014"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-170480.84*</w:t>
            </w:r>
          </w:p>
          <w:p w14:paraId="3B88B61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-11753.05</w:t>
            </w:r>
          </w:p>
          <w:p w14:paraId="06BD54F7"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10804.40</w:t>
            </w:r>
          </w:p>
        </w:tc>
        <w:tc>
          <w:tcPr>
            <w:tcW w:w="730" w:type="pct"/>
            <w:tcBorders>
              <w:top w:val="nil"/>
              <w:left w:val="nil"/>
              <w:bottom w:val="single" w:sz="4" w:space="0" w:color="000000"/>
              <w:right w:val="nil"/>
            </w:tcBorders>
          </w:tcPr>
          <w:p w14:paraId="28713058"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36813.75</w:t>
            </w:r>
          </w:p>
          <w:p w14:paraId="195864AE"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36813.75</w:t>
            </w:r>
          </w:p>
          <w:p w14:paraId="6F1B3057" w14:textId="77777777" w:rsidR="00C86BAE"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lang w:val="id-ID"/>
              </w:rPr>
              <w:t>39406.76</w:t>
            </w:r>
          </w:p>
        </w:tc>
        <w:tc>
          <w:tcPr>
            <w:tcW w:w="651" w:type="pct"/>
            <w:tcBorders>
              <w:top w:val="nil"/>
              <w:left w:val="nil"/>
              <w:bottom w:val="single" w:sz="4" w:space="0" w:color="000000"/>
            </w:tcBorders>
          </w:tcPr>
          <w:p w14:paraId="011A5E3D"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p w14:paraId="6B9DFB89"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.989</w:t>
            </w:r>
          </w:p>
          <w:p w14:paraId="26C7AB83"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.993</w:t>
            </w:r>
          </w:p>
        </w:tc>
      </w:tr>
      <w:tr w:rsidR="00A34600" w:rsidRPr="00412070" w14:paraId="78011A99" w14:textId="77777777" w:rsidTr="00C86BAE">
        <w:trPr>
          <w:trHeight w:val="63"/>
          <w:jc w:val="center"/>
        </w:trPr>
        <w:tc>
          <w:tcPr>
            <w:tcW w:w="5000" w:type="pct"/>
            <w:gridSpan w:val="5"/>
            <w:tcBorders>
              <w:top w:val="single" w:sz="4" w:space="0" w:color="000000"/>
              <w:bottom w:val="nil"/>
            </w:tcBorders>
          </w:tcPr>
          <w:p w14:paraId="35256E31" w14:textId="77777777" w:rsidR="00C86BAE" w:rsidRPr="00412070" w:rsidRDefault="003461B6" w:rsidP="00412070">
            <w:pPr>
              <w:rPr>
                <w:rFonts w:ascii="ShangralaW90-Regular" w:hAnsi="ShangralaW90-Regular"/>
                <w:sz w:val="20"/>
                <w:szCs w:val="20"/>
                <w:lang w:val="id-ID"/>
              </w:rPr>
            </w:pPr>
            <w:r w:rsidRPr="00412070">
              <w:rPr>
                <w:rFonts w:ascii="ShangralaW90-Regular" w:hAnsi="ShangralaW90-Regular"/>
                <w:sz w:val="20"/>
                <w:szCs w:val="20"/>
                <w:lang w:val="id-ID"/>
              </w:rPr>
              <w:t>Manufacturing FDI in Riau Islands by Origin</w:t>
            </w:r>
          </w:p>
        </w:tc>
      </w:tr>
      <w:tr w:rsidR="00A34600" w:rsidRPr="00412070" w14:paraId="34C17501" w14:textId="77777777" w:rsidTr="009E50CA">
        <w:trPr>
          <w:trHeight w:val="63"/>
          <w:jc w:val="center"/>
        </w:trPr>
        <w:tc>
          <w:tcPr>
            <w:tcW w:w="1193" w:type="pct"/>
            <w:tcBorders>
              <w:top w:val="nil"/>
              <w:bottom w:val="nil"/>
              <w:right w:val="nil"/>
            </w:tcBorders>
          </w:tcPr>
          <w:p w14:paraId="5D6666C0"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Singapore</w:t>
            </w:r>
            <w:r w:rsidRPr="00412070">
              <w:rPr>
                <w:rFonts w:ascii="ShangralaW90-Regular" w:hAnsi="ShangralaW90-Regular"/>
                <w:sz w:val="20"/>
                <w:szCs w:val="20"/>
              </w:rPr>
              <w:t xml:space="preserve"> </w:t>
            </w:r>
          </w:p>
          <w:p w14:paraId="3C80C7AA"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rPr>
              <w:t>(n: 31)</w:t>
            </w:r>
          </w:p>
          <w:p w14:paraId="33789E86" w14:textId="77777777" w:rsidR="00C86BAE" w:rsidRPr="00412070" w:rsidRDefault="00C86BAE" w:rsidP="00412070">
            <w:pPr>
              <w:rPr>
                <w:rFonts w:ascii="ShangralaW90-Regular" w:hAnsi="ShangralaW90-Regular"/>
                <w:sz w:val="20"/>
                <w:szCs w:val="20"/>
                <w:lang w:val="id-ID"/>
              </w:rPr>
            </w:pPr>
          </w:p>
        </w:tc>
        <w:tc>
          <w:tcPr>
            <w:tcW w:w="1057" w:type="pct"/>
            <w:tcBorders>
              <w:top w:val="nil"/>
              <w:left w:val="nil"/>
              <w:bottom w:val="nil"/>
              <w:right w:val="nil"/>
            </w:tcBorders>
          </w:tcPr>
          <w:p w14:paraId="35664562"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East Asia</w:t>
            </w:r>
            <w:r w:rsidRPr="00412070">
              <w:rPr>
                <w:rFonts w:ascii="ShangralaW90-Regular" w:hAnsi="ShangralaW90-Regular"/>
                <w:sz w:val="20"/>
                <w:szCs w:val="20"/>
              </w:rPr>
              <w:t xml:space="preserve"> (n: 31)</w:t>
            </w:r>
          </w:p>
          <w:p w14:paraId="2F809E1D"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Malaysia</w:t>
            </w:r>
            <w:r w:rsidRPr="00412070">
              <w:rPr>
                <w:rFonts w:ascii="ShangralaW90-Regular" w:hAnsi="ShangralaW90-Regular"/>
                <w:sz w:val="20"/>
                <w:szCs w:val="20"/>
              </w:rPr>
              <w:t xml:space="preserve"> (n: 31)</w:t>
            </w:r>
          </w:p>
          <w:p w14:paraId="743E8C62"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US</w:t>
            </w:r>
            <w:r w:rsidRPr="00412070">
              <w:rPr>
                <w:rFonts w:ascii="ShangralaW90-Regular" w:hAnsi="ShangralaW90-Regular"/>
                <w:sz w:val="20"/>
                <w:szCs w:val="20"/>
              </w:rPr>
              <w:t xml:space="preserve"> (n: 18)</w:t>
            </w:r>
          </w:p>
        </w:tc>
        <w:tc>
          <w:tcPr>
            <w:tcW w:w="1369" w:type="pct"/>
            <w:tcBorders>
              <w:top w:val="nil"/>
              <w:left w:val="nil"/>
              <w:bottom w:val="nil"/>
              <w:right w:val="nil"/>
            </w:tcBorders>
          </w:tcPr>
          <w:p w14:paraId="1E9C813E"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86457.93*</w:t>
            </w:r>
          </w:p>
          <w:p w14:paraId="7516E1E4"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101101.12*</w:t>
            </w:r>
          </w:p>
          <w:p w14:paraId="09E4D4C7"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101476.56*</w:t>
            </w:r>
          </w:p>
        </w:tc>
        <w:tc>
          <w:tcPr>
            <w:tcW w:w="730" w:type="pct"/>
            <w:tcBorders>
              <w:top w:val="nil"/>
              <w:left w:val="nil"/>
              <w:bottom w:val="nil"/>
              <w:right w:val="nil"/>
            </w:tcBorders>
          </w:tcPr>
          <w:p w14:paraId="2AC38DF7"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29913.44</w:t>
            </w:r>
          </w:p>
          <w:p w14:paraId="2B2A14FF"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29913.44</w:t>
            </w:r>
          </w:p>
          <w:p w14:paraId="0874536E"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34899.01</w:t>
            </w:r>
          </w:p>
        </w:tc>
        <w:tc>
          <w:tcPr>
            <w:tcW w:w="651" w:type="pct"/>
            <w:tcBorders>
              <w:top w:val="nil"/>
              <w:left w:val="nil"/>
              <w:bottom w:val="nil"/>
            </w:tcBorders>
          </w:tcPr>
          <w:p w14:paraId="71B15FCD"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.024</w:t>
            </w:r>
          </w:p>
          <w:p w14:paraId="3CB52832"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.006</w:t>
            </w:r>
          </w:p>
          <w:p w14:paraId="0CD3CF39"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.023</w:t>
            </w:r>
          </w:p>
        </w:tc>
      </w:tr>
      <w:tr w:rsidR="00A34600" w:rsidRPr="00412070" w14:paraId="37DA3C3C" w14:textId="77777777" w:rsidTr="009E50CA">
        <w:trPr>
          <w:trHeight w:val="428"/>
          <w:jc w:val="center"/>
        </w:trPr>
        <w:tc>
          <w:tcPr>
            <w:tcW w:w="1193" w:type="pct"/>
            <w:tcBorders>
              <w:top w:val="nil"/>
              <w:bottom w:val="single" w:sz="4" w:space="0" w:color="000000"/>
              <w:right w:val="nil"/>
            </w:tcBorders>
          </w:tcPr>
          <w:p w14:paraId="7CB28326"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Malaysia</w:t>
            </w:r>
          </w:p>
          <w:p w14:paraId="675E3633"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rPr>
              <w:t>(n: 31)</w:t>
            </w:r>
          </w:p>
        </w:tc>
        <w:tc>
          <w:tcPr>
            <w:tcW w:w="1057" w:type="pct"/>
            <w:tcBorders>
              <w:top w:val="nil"/>
              <w:left w:val="nil"/>
              <w:bottom w:val="single" w:sz="4" w:space="0" w:color="000000"/>
              <w:right w:val="nil"/>
            </w:tcBorders>
          </w:tcPr>
          <w:p w14:paraId="245223DC"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Singapore</w:t>
            </w:r>
            <w:r w:rsidRPr="00412070">
              <w:rPr>
                <w:rFonts w:ascii="ShangralaW90-Regular" w:hAnsi="ShangralaW90-Regular"/>
                <w:sz w:val="20"/>
                <w:szCs w:val="20"/>
              </w:rPr>
              <w:t xml:space="preserve"> (n: 31)</w:t>
            </w:r>
          </w:p>
          <w:p w14:paraId="7E3686E2"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East Asia</w:t>
            </w:r>
            <w:r w:rsidRPr="00412070">
              <w:rPr>
                <w:rFonts w:ascii="ShangralaW90-Regular" w:hAnsi="ShangralaW90-Regular"/>
                <w:sz w:val="20"/>
                <w:szCs w:val="20"/>
              </w:rPr>
              <w:t xml:space="preserve"> (n: 31)</w:t>
            </w:r>
          </w:p>
          <w:p w14:paraId="0CE195C0"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US</w:t>
            </w:r>
            <w:r w:rsidRPr="00412070">
              <w:rPr>
                <w:rFonts w:ascii="ShangralaW90-Regular" w:hAnsi="ShangralaW90-Regular"/>
                <w:sz w:val="20"/>
                <w:szCs w:val="20"/>
              </w:rPr>
              <w:t xml:space="preserve"> (n: 18)</w:t>
            </w:r>
          </w:p>
        </w:tc>
        <w:tc>
          <w:tcPr>
            <w:tcW w:w="1369" w:type="pct"/>
            <w:tcBorders>
              <w:top w:val="nil"/>
              <w:left w:val="nil"/>
              <w:bottom w:val="single" w:sz="4" w:space="0" w:color="000000"/>
              <w:right w:val="nil"/>
            </w:tcBorders>
          </w:tcPr>
          <w:p w14:paraId="453A8DCA"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-101101.12*</w:t>
            </w:r>
          </w:p>
          <w:p w14:paraId="725E4A35"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-14643.18</w:t>
            </w:r>
          </w:p>
          <w:p w14:paraId="2651CC91"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375.45</w:t>
            </w:r>
          </w:p>
        </w:tc>
        <w:tc>
          <w:tcPr>
            <w:tcW w:w="730" w:type="pct"/>
            <w:tcBorders>
              <w:top w:val="nil"/>
              <w:left w:val="nil"/>
              <w:bottom w:val="single" w:sz="4" w:space="0" w:color="000000"/>
              <w:right w:val="nil"/>
            </w:tcBorders>
          </w:tcPr>
          <w:p w14:paraId="2B218D26"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29913.44</w:t>
            </w:r>
          </w:p>
          <w:p w14:paraId="4130C6AB"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29913.44</w:t>
            </w:r>
          </w:p>
          <w:p w14:paraId="07425C20" w14:textId="77777777" w:rsidR="00C86BAE"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lang w:val="id-ID"/>
              </w:rPr>
              <w:t>34899.01</w:t>
            </w:r>
          </w:p>
        </w:tc>
        <w:tc>
          <w:tcPr>
            <w:tcW w:w="651" w:type="pct"/>
            <w:tcBorders>
              <w:top w:val="nil"/>
              <w:left w:val="nil"/>
              <w:bottom w:val="single" w:sz="4" w:space="0" w:color="000000"/>
            </w:tcBorders>
          </w:tcPr>
          <w:p w14:paraId="17D4EE7A"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.006</w:t>
            </w:r>
          </w:p>
          <w:p w14:paraId="5ECD704C"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.961</w:t>
            </w:r>
          </w:p>
          <w:p w14:paraId="0A59F35F"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1.000</w:t>
            </w:r>
          </w:p>
        </w:tc>
      </w:tr>
      <w:tr w:rsidR="00A34600" w:rsidRPr="00412070" w14:paraId="69C676DD" w14:textId="77777777" w:rsidTr="00C86BAE">
        <w:trPr>
          <w:trHeight w:val="322"/>
          <w:jc w:val="center"/>
        </w:trPr>
        <w:tc>
          <w:tcPr>
            <w:tcW w:w="5000" w:type="pct"/>
            <w:gridSpan w:val="5"/>
            <w:tcBorders>
              <w:top w:val="single" w:sz="4" w:space="0" w:color="000000"/>
              <w:bottom w:val="nil"/>
            </w:tcBorders>
          </w:tcPr>
          <w:p w14:paraId="4A459087" w14:textId="77777777" w:rsidR="00C86BAE" w:rsidRPr="00412070" w:rsidRDefault="003461B6" w:rsidP="00412070">
            <w:pPr>
              <w:rPr>
                <w:rFonts w:ascii="ShangralaW90-Regular" w:hAnsi="ShangralaW90-Regular"/>
                <w:sz w:val="20"/>
                <w:szCs w:val="20"/>
                <w:lang w:val="id-ID"/>
              </w:rPr>
            </w:pPr>
            <w:r w:rsidRPr="00412070">
              <w:rPr>
                <w:rFonts w:ascii="ShangralaW90-Regular" w:hAnsi="ShangralaW90-Regular"/>
                <w:sz w:val="20"/>
                <w:szCs w:val="20"/>
                <w:lang w:val="id-ID"/>
              </w:rPr>
              <w:t>Non Manufacturing FDI in Riau Islands by Origin</w:t>
            </w:r>
          </w:p>
        </w:tc>
      </w:tr>
      <w:tr w:rsidR="00A34600" w:rsidRPr="00412070" w14:paraId="6BCEEF59" w14:textId="77777777" w:rsidTr="00553C92">
        <w:trPr>
          <w:trHeight w:val="981"/>
          <w:jc w:val="center"/>
        </w:trPr>
        <w:tc>
          <w:tcPr>
            <w:tcW w:w="1193" w:type="pct"/>
            <w:tcBorders>
              <w:top w:val="nil"/>
              <w:bottom w:val="nil"/>
              <w:right w:val="nil"/>
            </w:tcBorders>
          </w:tcPr>
          <w:p w14:paraId="7DCAE4BB"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Singapore</w:t>
            </w:r>
            <w:r w:rsidRPr="00412070">
              <w:rPr>
                <w:rFonts w:ascii="ShangralaW90-Regular" w:hAnsi="ShangralaW90-Regular"/>
                <w:sz w:val="20"/>
                <w:szCs w:val="20"/>
              </w:rPr>
              <w:t xml:space="preserve"> </w:t>
            </w:r>
          </w:p>
          <w:p w14:paraId="6BB5E213"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rPr>
              <w:t>(n: 31)</w:t>
            </w:r>
          </w:p>
          <w:p w14:paraId="3BAEF4C1" w14:textId="77777777" w:rsidR="00C86BAE" w:rsidRPr="00412070" w:rsidRDefault="00C86BAE" w:rsidP="00412070">
            <w:pPr>
              <w:rPr>
                <w:rFonts w:ascii="ShangralaW90-Regular" w:hAnsi="ShangralaW90-Regular"/>
                <w:sz w:val="20"/>
                <w:szCs w:val="20"/>
                <w:lang w:val="id-ID"/>
              </w:rPr>
            </w:pPr>
          </w:p>
        </w:tc>
        <w:tc>
          <w:tcPr>
            <w:tcW w:w="1057" w:type="pct"/>
            <w:tcBorders>
              <w:top w:val="nil"/>
              <w:left w:val="nil"/>
              <w:bottom w:val="nil"/>
              <w:right w:val="nil"/>
            </w:tcBorders>
          </w:tcPr>
          <w:p w14:paraId="41F061B6"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East Asia</w:t>
            </w:r>
            <w:r w:rsidRPr="00412070">
              <w:rPr>
                <w:rFonts w:ascii="ShangralaW90-Regular" w:hAnsi="ShangralaW90-Regular"/>
                <w:sz w:val="20"/>
                <w:szCs w:val="20"/>
              </w:rPr>
              <w:t xml:space="preserve"> (n: 31)</w:t>
            </w:r>
          </w:p>
          <w:p w14:paraId="3DE1558A"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Malaysia</w:t>
            </w:r>
            <w:r w:rsidRPr="00412070">
              <w:rPr>
                <w:rFonts w:ascii="ShangralaW90-Regular" w:hAnsi="ShangralaW90-Regular"/>
                <w:sz w:val="20"/>
                <w:szCs w:val="20"/>
              </w:rPr>
              <w:t xml:space="preserve"> (n: 31)</w:t>
            </w:r>
          </w:p>
          <w:p w14:paraId="089B617C"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US</w:t>
            </w:r>
            <w:r w:rsidRPr="00412070">
              <w:rPr>
                <w:rFonts w:ascii="ShangralaW90-Regular" w:hAnsi="ShangralaW90-Regular"/>
                <w:sz w:val="20"/>
                <w:szCs w:val="20"/>
              </w:rPr>
              <w:t xml:space="preserve"> (n: 18)</w:t>
            </w:r>
          </w:p>
        </w:tc>
        <w:tc>
          <w:tcPr>
            <w:tcW w:w="1369" w:type="pct"/>
            <w:tcBorders>
              <w:top w:val="nil"/>
              <w:left w:val="nil"/>
              <w:bottom w:val="nil"/>
              <w:right w:val="nil"/>
            </w:tcBorders>
          </w:tcPr>
          <w:p w14:paraId="4BF7771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72269.86*</w:t>
            </w:r>
          </w:p>
          <w:p w14:paraId="6F9F704F"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69379.73*</w:t>
            </w:r>
          </w:p>
          <w:p w14:paraId="52A47C3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79198.69*</w:t>
            </w:r>
          </w:p>
        </w:tc>
        <w:tc>
          <w:tcPr>
            <w:tcW w:w="730" w:type="pct"/>
            <w:tcBorders>
              <w:top w:val="nil"/>
              <w:left w:val="nil"/>
              <w:bottom w:val="nil"/>
              <w:right w:val="nil"/>
            </w:tcBorders>
          </w:tcPr>
          <w:p w14:paraId="0B3D1016"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14895.59</w:t>
            </w:r>
          </w:p>
          <w:p w14:paraId="409EDCE1"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14895.59</w:t>
            </w:r>
          </w:p>
          <w:p w14:paraId="298C891E" w14:textId="77777777" w:rsidR="00887CF2"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14895.59</w:t>
            </w:r>
          </w:p>
        </w:tc>
        <w:tc>
          <w:tcPr>
            <w:tcW w:w="651" w:type="pct"/>
            <w:tcBorders>
              <w:top w:val="nil"/>
              <w:left w:val="nil"/>
              <w:bottom w:val="nil"/>
            </w:tcBorders>
          </w:tcPr>
          <w:p w14:paraId="0F751486"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p w14:paraId="19A11D3E"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p w14:paraId="54EB8EB7" w14:textId="77777777" w:rsidR="00887CF2"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tc>
      </w:tr>
      <w:tr w:rsidR="00A34600" w:rsidRPr="00412070" w14:paraId="71C2462A" w14:textId="77777777" w:rsidTr="009E50CA">
        <w:trPr>
          <w:trHeight w:val="1046"/>
          <w:jc w:val="center"/>
        </w:trPr>
        <w:tc>
          <w:tcPr>
            <w:tcW w:w="1193" w:type="pct"/>
            <w:tcBorders>
              <w:top w:val="nil"/>
              <w:bottom w:val="single" w:sz="4" w:space="0" w:color="000000"/>
              <w:right w:val="nil"/>
            </w:tcBorders>
          </w:tcPr>
          <w:p w14:paraId="7CC1269C"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Malaysia</w:t>
            </w:r>
            <w:r w:rsidRPr="00412070">
              <w:rPr>
                <w:rFonts w:ascii="ShangralaW90-Regular" w:hAnsi="ShangralaW90-Regular"/>
                <w:sz w:val="20"/>
                <w:szCs w:val="20"/>
              </w:rPr>
              <w:t xml:space="preserve"> </w:t>
            </w:r>
          </w:p>
          <w:p w14:paraId="18F3237D" w14:textId="77777777" w:rsidR="00C86BAE"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rPr>
              <w:t>(n: 31)</w:t>
            </w:r>
          </w:p>
        </w:tc>
        <w:tc>
          <w:tcPr>
            <w:tcW w:w="1057" w:type="pct"/>
            <w:tcBorders>
              <w:top w:val="nil"/>
              <w:left w:val="nil"/>
              <w:bottom w:val="single" w:sz="4" w:space="0" w:color="000000"/>
              <w:right w:val="nil"/>
            </w:tcBorders>
          </w:tcPr>
          <w:p w14:paraId="42A52CC8"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Singapore</w:t>
            </w:r>
            <w:r w:rsidRPr="00412070">
              <w:rPr>
                <w:rFonts w:ascii="ShangralaW90-Regular" w:hAnsi="ShangralaW90-Regular"/>
                <w:sz w:val="20"/>
                <w:szCs w:val="20"/>
              </w:rPr>
              <w:t xml:space="preserve"> (n: 31)</w:t>
            </w:r>
          </w:p>
          <w:p w14:paraId="55B3BB3D"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East Asia</w:t>
            </w:r>
            <w:r w:rsidRPr="00412070">
              <w:rPr>
                <w:rFonts w:ascii="ShangralaW90-Regular" w:hAnsi="ShangralaW90-Regular"/>
                <w:sz w:val="20"/>
                <w:szCs w:val="20"/>
              </w:rPr>
              <w:t xml:space="preserve"> (n: 31)</w:t>
            </w:r>
          </w:p>
          <w:p w14:paraId="6B22F10B" w14:textId="77777777" w:rsidR="00C86BAE"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US</w:t>
            </w:r>
            <w:r w:rsidRPr="00412070">
              <w:rPr>
                <w:rFonts w:ascii="ShangralaW90-Regular" w:hAnsi="ShangralaW90-Regular"/>
                <w:sz w:val="20"/>
                <w:szCs w:val="20"/>
              </w:rPr>
              <w:t xml:space="preserve"> (n: 18)</w:t>
            </w:r>
          </w:p>
        </w:tc>
        <w:tc>
          <w:tcPr>
            <w:tcW w:w="1369" w:type="pct"/>
            <w:tcBorders>
              <w:top w:val="nil"/>
              <w:left w:val="nil"/>
              <w:bottom w:val="single" w:sz="4" w:space="0" w:color="000000"/>
              <w:right w:val="nil"/>
            </w:tcBorders>
          </w:tcPr>
          <w:p w14:paraId="368623B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-69379.73*</w:t>
            </w:r>
          </w:p>
          <w:p w14:paraId="5313F7F8"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2890.13</w:t>
            </w:r>
          </w:p>
          <w:p w14:paraId="401CC78D"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9818.96</w:t>
            </w:r>
          </w:p>
        </w:tc>
        <w:tc>
          <w:tcPr>
            <w:tcW w:w="730" w:type="pct"/>
            <w:tcBorders>
              <w:top w:val="nil"/>
              <w:left w:val="nil"/>
              <w:bottom w:val="single" w:sz="4" w:space="0" w:color="000000"/>
              <w:right w:val="nil"/>
            </w:tcBorders>
          </w:tcPr>
          <w:p w14:paraId="2B2039A0"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14895.59</w:t>
            </w:r>
          </w:p>
          <w:p w14:paraId="0E4F7AF5"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14895.59</w:t>
            </w:r>
          </w:p>
          <w:p w14:paraId="1A2CB597" w14:textId="77777777" w:rsidR="00C86BAE"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lang w:val="id-ID"/>
              </w:rPr>
              <w:t>14895.59</w:t>
            </w:r>
          </w:p>
        </w:tc>
        <w:tc>
          <w:tcPr>
            <w:tcW w:w="651" w:type="pct"/>
            <w:tcBorders>
              <w:top w:val="nil"/>
              <w:left w:val="nil"/>
              <w:bottom w:val="single" w:sz="4" w:space="0" w:color="000000"/>
            </w:tcBorders>
          </w:tcPr>
          <w:p w14:paraId="403F1841"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.000</w:t>
            </w:r>
          </w:p>
          <w:p w14:paraId="4F924A82"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.997</w:t>
            </w:r>
          </w:p>
          <w:p w14:paraId="3A412F59" w14:textId="77777777" w:rsidR="00C86BAE" w:rsidRPr="00412070" w:rsidRDefault="003461B6" w:rsidP="00412070">
            <w:pPr>
              <w:jc w:val="right"/>
              <w:rPr>
                <w:rFonts w:ascii="ShangralaW90-Regular" w:hAnsi="ShangralaW90-Regular"/>
                <w:sz w:val="20"/>
                <w:szCs w:val="20"/>
                <w:lang w:val="id-ID"/>
              </w:rPr>
            </w:pPr>
            <w:r w:rsidRPr="00412070">
              <w:rPr>
                <w:rFonts w:ascii="ShangralaW90-Regular" w:hAnsi="ShangralaW90-Regular"/>
                <w:sz w:val="20"/>
                <w:szCs w:val="20"/>
                <w:lang w:val="id-ID"/>
              </w:rPr>
              <w:t>.912</w:t>
            </w:r>
          </w:p>
        </w:tc>
      </w:tr>
    </w:tbl>
    <w:p w14:paraId="450ABB7C" w14:textId="77777777" w:rsidR="009E50CA" w:rsidRPr="009E50CA" w:rsidRDefault="003461B6" w:rsidP="00412070">
      <w:pPr>
        <w:pStyle w:val="Body"/>
        <w:spacing w:after="240"/>
        <w:jc w:val="both"/>
        <w:rPr>
          <w:rFonts w:ascii="ShangralaW90-Regular" w:eastAsia="Cambria" w:hAnsi="ShangralaW90-Regular" w:cs="Cambria"/>
          <w:color w:val="000000" w:themeColor="text1"/>
          <w:u w:color="FF0000"/>
        </w:rPr>
      </w:pPr>
      <w:r w:rsidRPr="009E50CA">
        <w:rPr>
          <w:rFonts w:ascii="ShangralaW90-Regular" w:eastAsia="Cambria" w:hAnsi="ShangralaW90-Regular" w:cs="Cambria"/>
          <w:color w:val="000000" w:themeColor="text1"/>
          <w:u w:color="FF0000"/>
        </w:rPr>
        <w:t>*The mean difference is significant at the 0.05 level</w:t>
      </w:r>
    </w:p>
    <w:p w14:paraId="47C75232" w14:textId="77777777" w:rsidR="00EA7D1D" w:rsidRDefault="003461B6" w:rsidP="00EA7D1D">
      <w:pPr>
        <w:pStyle w:val="Body"/>
        <w:spacing w:after="120"/>
        <w:ind w:firstLine="540"/>
        <w:jc w:val="both"/>
        <w:rPr>
          <w:rFonts w:ascii="ShangralaW90-Regular" w:eastAsia="Cambria" w:hAnsi="ShangralaW90-Regular" w:cs="Cambria"/>
          <w:color w:val="000000" w:themeColor="text1"/>
          <w:u w:color="FF0000"/>
        </w:rPr>
      </w:pPr>
      <w:r w:rsidRPr="009E50CA">
        <w:rPr>
          <w:rFonts w:ascii="ShangralaW90-Regular" w:eastAsia="Cambria" w:hAnsi="ShangralaW90-Regular" w:cs="Cambria"/>
          <w:color w:val="000000" w:themeColor="text1"/>
          <w:u w:color="FF0000"/>
        </w:rPr>
        <w:t xml:space="preserve">Singapore's manufacturing FDI in Riau Islands was USD 3.2 billion from 1990 to 2020 and thus larger than other countries' manufacturing FDI. Singapore and South Korea initially invested in the manufacturing sector in Riau Islands in 1992. It was the first investment in the manufacturing sector since the announcement of Sijori-GT economic cooperation in 1989. Singapore invested in the textile industry and South Korea invested in the </w:t>
      </w:r>
      <w:r w:rsidRPr="00CB6E9F">
        <w:rPr>
          <w:rFonts w:ascii="ShangralaW90-Regular" w:eastAsia="Cambria" w:hAnsi="ShangralaW90-Regular" w:cs="Cambria"/>
          <w:color w:val="000000" w:themeColor="text1"/>
          <w:highlight w:val="green"/>
          <w:u w:color="FF0000"/>
        </w:rPr>
        <w:t>non-metal</w:t>
      </w:r>
      <w:r w:rsidRPr="009E50CA">
        <w:rPr>
          <w:rFonts w:ascii="ShangralaW90-Regular" w:eastAsia="Cambria" w:hAnsi="ShangralaW90-Regular" w:cs="Cambria"/>
          <w:color w:val="000000" w:themeColor="text1"/>
          <w:u w:color="FF0000"/>
        </w:rPr>
        <w:t xml:space="preserve"> mineral industry. Singapore kept a high investment commitment in the manufacturing sector till 2020. In addition, Malaysia's manufacturing FDI was USD 108.8 million from 1998 to 2020 (Figure 2).</w:t>
      </w:r>
    </w:p>
    <w:p w14:paraId="44A93350" w14:textId="77777777" w:rsidR="00412070" w:rsidRDefault="00412070" w:rsidP="00412070">
      <w:pPr>
        <w:pStyle w:val="Body"/>
        <w:ind w:firstLine="539"/>
        <w:jc w:val="both"/>
        <w:rPr>
          <w:rFonts w:ascii="ShangralaW90-Regular" w:eastAsia="Cambria" w:hAnsi="ShangralaW90-Regular" w:cs="Cambria"/>
          <w:color w:val="000000" w:themeColor="text1"/>
          <w:u w:color="FF0000"/>
        </w:rPr>
      </w:pPr>
      <w:r w:rsidRPr="009E50CA">
        <w:rPr>
          <w:rFonts w:ascii="ShangralaW90-Regular" w:eastAsia="Cambria" w:hAnsi="ShangralaW90-Regular" w:cs="Cambria"/>
          <w:color w:val="000000" w:themeColor="text1"/>
          <w:u w:color="FF0000"/>
        </w:rPr>
        <w:t>One-way ANOVA test (</w:t>
      </w:r>
      <w:proofErr w:type="spellStart"/>
      <w:r w:rsidRPr="009E50CA">
        <w:rPr>
          <w:rFonts w:ascii="ShangralaW90-Regular" w:eastAsia="Cambria" w:hAnsi="ShangralaW90-Regular" w:cs="Cambria"/>
          <w:color w:val="000000" w:themeColor="text1"/>
          <w:u w:color="FF0000"/>
        </w:rPr>
        <w:t>posthoc</w:t>
      </w:r>
      <w:proofErr w:type="spellEnd"/>
      <w:r w:rsidRPr="009E50CA">
        <w:rPr>
          <w:rFonts w:ascii="ShangralaW90-Regular" w:eastAsia="Cambria" w:hAnsi="ShangralaW90-Regular" w:cs="Cambria"/>
          <w:color w:val="000000" w:themeColor="text1"/>
          <w:u w:color="FF0000"/>
        </w:rPr>
        <w:t xml:space="preserve"> test) was conducted by comparing manufacturing FDI by country origin in Riau Islands. The output of the </w:t>
      </w:r>
      <w:proofErr w:type="spellStart"/>
      <w:r w:rsidRPr="009E50CA">
        <w:rPr>
          <w:rFonts w:ascii="ShangralaW90-Regular" w:eastAsia="Cambria" w:hAnsi="ShangralaW90-Regular" w:cs="Cambria"/>
          <w:color w:val="000000" w:themeColor="text1"/>
          <w:u w:color="FF0000"/>
        </w:rPr>
        <w:t>posthoc</w:t>
      </w:r>
      <w:proofErr w:type="spellEnd"/>
      <w:r w:rsidRPr="009E50CA">
        <w:rPr>
          <w:rFonts w:ascii="ShangralaW90-Regular" w:eastAsia="Cambria" w:hAnsi="ShangralaW90-Regular" w:cs="Cambria"/>
          <w:color w:val="000000" w:themeColor="text1"/>
          <w:u w:color="FF0000"/>
        </w:rPr>
        <w:t xml:space="preserve"> test (Tukey HSD) </w:t>
      </w:r>
      <w:r w:rsidRPr="009D621E">
        <w:rPr>
          <w:rFonts w:ascii="ShangralaW90-Regular" w:eastAsia="Cambria" w:hAnsi="ShangralaW90-Regular" w:cs="Cambria"/>
          <w:color w:val="000000" w:themeColor="text1"/>
          <w:highlight w:val="green"/>
          <w:u w:color="FF0000"/>
        </w:rPr>
        <w:t>demonstrates</w:t>
      </w:r>
      <w:r w:rsidRPr="009E50CA">
        <w:rPr>
          <w:rFonts w:ascii="ShangralaW90-Regular" w:eastAsia="Cambria" w:hAnsi="ShangralaW90-Regular" w:cs="Cambria"/>
          <w:color w:val="000000" w:themeColor="text1"/>
          <w:u w:color="FF0000"/>
        </w:rPr>
        <w:t xml:space="preserve"> that the Sig values (0.024, 0.006, and 0.02) for comparison between manufacturing FDI from Singapore and other countries </w:t>
      </w:r>
      <w:r w:rsidRPr="009D621E">
        <w:rPr>
          <w:rFonts w:ascii="ShangralaW90-Regular" w:eastAsia="Cambria" w:hAnsi="ShangralaW90-Regular" w:cs="Cambria"/>
          <w:color w:val="000000" w:themeColor="text1"/>
          <w:highlight w:val="green"/>
          <w:u w:color="FF0000"/>
        </w:rPr>
        <w:t>are</w:t>
      </w:r>
      <w:r w:rsidRPr="009E50CA">
        <w:rPr>
          <w:rFonts w:ascii="ShangralaW90-Regular" w:eastAsia="Cambria" w:hAnsi="ShangralaW90-Regular" w:cs="Cambria"/>
          <w:color w:val="000000" w:themeColor="text1"/>
          <w:u w:color="FF0000"/>
        </w:rPr>
        <w:t xml:space="preserve"> less than the 0.05 significance level (Table 3)</w:t>
      </w:r>
      <w:r>
        <w:rPr>
          <w:rFonts w:ascii="ShangralaW90-Regular" w:eastAsia="Cambria" w:hAnsi="ShangralaW90-Regular" w:cs="Cambria"/>
          <w:color w:val="000000" w:themeColor="text1"/>
          <w:u w:color="FF0000"/>
        </w:rPr>
        <w:t>, meaning</w:t>
      </w:r>
      <w:r w:rsidRPr="009E50CA">
        <w:rPr>
          <w:rFonts w:ascii="ShangralaW90-Regular" w:eastAsia="Cambria" w:hAnsi="ShangralaW90-Regular" w:cs="Cambria"/>
          <w:color w:val="000000" w:themeColor="text1"/>
          <w:u w:color="FF0000"/>
        </w:rPr>
        <w:t xml:space="preserve"> </w:t>
      </w:r>
      <w:r w:rsidRPr="009D621E">
        <w:rPr>
          <w:rFonts w:ascii="ShangralaW90-Regular" w:eastAsia="Cambria" w:hAnsi="ShangralaW90-Regular" w:cs="Cambria"/>
          <w:color w:val="000000" w:themeColor="text1"/>
          <w:highlight w:val="green"/>
          <w:u w:color="FF0000"/>
        </w:rPr>
        <w:t>authors</w:t>
      </w:r>
      <w:r w:rsidRPr="009E50CA">
        <w:rPr>
          <w:rFonts w:ascii="ShangralaW90-Regular" w:eastAsia="Cambria" w:hAnsi="ShangralaW90-Regular" w:cs="Cambria"/>
          <w:color w:val="000000" w:themeColor="text1"/>
          <w:u w:color="FF0000"/>
        </w:rPr>
        <w:t xml:space="preserve"> accepted </w:t>
      </w:r>
      <w:r w:rsidRPr="00912F14">
        <w:rPr>
          <w:rFonts w:ascii="ShangralaW90-Regular" w:eastAsia="Cambria" w:hAnsi="ShangralaW90-Regular" w:cs="Cambria"/>
          <w:color w:val="000000" w:themeColor="text1"/>
          <w:highlight w:val="green"/>
          <w:u w:color="FF0000"/>
        </w:rPr>
        <w:t>H</w:t>
      </w:r>
      <w:r w:rsidRPr="00912F14">
        <w:rPr>
          <w:rFonts w:ascii="ShangralaW90-Regular" w:eastAsia="Cambria" w:hAnsi="ShangralaW90-Regular" w:cs="Cambria"/>
          <w:color w:val="000000" w:themeColor="text1"/>
          <w:highlight w:val="green"/>
          <w:u w:color="FF0000"/>
          <w:vertAlign w:val="subscript"/>
        </w:rPr>
        <w:t>1</w:t>
      </w:r>
      <w:r w:rsidRPr="009E50CA">
        <w:rPr>
          <w:rFonts w:ascii="ShangralaW90-Regular" w:eastAsia="Cambria" w:hAnsi="ShangralaW90-Regular" w:cs="Cambria"/>
          <w:color w:val="000000" w:themeColor="text1"/>
          <w:u w:color="FF0000"/>
        </w:rPr>
        <w:t xml:space="preserve">, that is Singapore’s manufacturing FDI in Riau Islands </w:t>
      </w:r>
      <w:r w:rsidRPr="00912F14">
        <w:rPr>
          <w:rFonts w:ascii="ShangralaW90-Regular" w:eastAsia="Cambria" w:hAnsi="ShangralaW90-Regular" w:cs="Cambria"/>
          <w:color w:val="000000" w:themeColor="text1"/>
          <w:highlight w:val="green"/>
          <w:u w:color="FF0000"/>
        </w:rPr>
        <w:t>is</w:t>
      </w:r>
      <w:r w:rsidRPr="009E50CA">
        <w:rPr>
          <w:rFonts w:ascii="ShangralaW90-Regular" w:eastAsia="Cambria" w:hAnsi="ShangralaW90-Regular" w:cs="Cambria"/>
          <w:color w:val="000000" w:themeColor="text1"/>
          <w:u w:color="FF0000"/>
        </w:rPr>
        <w:t xml:space="preserve"> significantly different from manufacturing FDI from other countries (Hypothesis 2). The mean difference </w:t>
      </w:r>
      <w:r w:rsidRPr="00912F14">
        <w:rPr>
          <w:rFonts w:ascii="ShangralaW90-Regular" w:eastAsia="Cambria" w:hAnsi="ShangralaW90-Regular" w:cs="Cambria"/>
          <w:color w:val="000000" w:themeColor="text1"/>
          <w:highlight w:val="green"/>
          <w:u w:color="FF0000"/>
        </w:rPr>
        <w:t>is</w:t>
      </w:r>
      <w:r w:rsidRPr="009E50CA">
        <w:rPr>
          <w:rFonts w:ascii="ShangralaW90-Regular" w:eastAsia="Cambria" w:hAnsi="ShangralaW90-Regular" w:cs="Cambria"/>
          <w:color w:val="000000" w:themeColor="text1"/>
          <w:u w:color="FF0000"/>
        </w:rPr>
        <w:t xml:space="preserve"> positive, meaning the mean of Singapore's manufacturing FDI </w:t>
      </w:r>
      <w:r>
        <w:rPr>
          <w:rFonts w:ascii="ShangralaW90-Regular" w:eastAsia="Cambria" w:hAnsi="ShangralaW90-Regular" w:cs="Cambria"/>
          <w:color w:val="000000" w:themeColor="text1"/>
          <w:u w:color="FF0000"/>
        </w:rPr>
        <w:t>was</w:t>
      </w:r>
      <w:r w:rsidRPr="009E50CA">
        <w:rPr>
          <w:rFonts w:ascii="ShangralaW90-Regular" w:eastAsia="Cambria" w:hAnsi="ShangralaW90-Regular" w:cs="Cambria"/>
          <w:color w:val="000000" w:themeColor="text1"/>
          <w:u w:color="FF0000"/>
        </w:rPr>
        <w:t xml:space="preserve"> larger than the mean of other countries' manufacturing FDI.</w:t>
      </w:r>
    </w:p>
    <w:p w14:paraId="2A22542A" w14:textId="77777777" w:rsidR="00412070" w:rsidRDefault="00412070" w:rsidP="00EA7D1D">
      <w:pPr>
        <w:pStyle w:val="Body"/>
        <w:spacing w:after="120"/>
        <w:ind w:firstLine="540"/>
        <w:jc w:val="both"/>
        <w:rPr>
          <w:rFonts w:ascii="ShangralaW90-Regular" w:eastAsia="Cambria" w:hAnsi="ShangralaW90-Regular" w:cs="Cambria"/>
          <w:color w:val="000000" w:themeColor="text1"/>
          <w:u w:color="FF0000"/>
        </w:rPr>
      </w:pPr>
    </w:p>
    <w:p w14:paraId="02038968" w14:textId="77777777" w:rsidR="009E50CA" w:rsidRDefault="003461B6" w:rsidP="009E50CA">
      <w:pPr>
        <w:pStyle w:val="Body"/>
        <w:snapToGrid w:val="0"/>
        <w:spacing w:before="120"/>
        <w:contextualSpacing/>
        <w:jc w:val="center"/>
        <w:rPr>
          <w:rFonts w:ascii="ShangralaW90-Regular" w:eastAsia="Cambria" w:hAnsi="ShangralaW90-Regular" w:cs="Cambria"/>
          <w:color w:val="000000" w:themeColor="text1"/>
          <w:u w:color="FF0000"/>
        </w:rPr>
      </w:pPr>
      <w:r>
        <w:rPr>
          <w:noProof/>
        </w:rPr>
        <w:lastRenderedPageBreak/>
        <w:drawing>
          <wp:inline distT="0" distB="0" distL="0" distR="0" wp14:anchorId="0C7A48D2" wp14:editId="4A486A65">
            <wp:extent cx="5727700" cy="247396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27700" cy="2473960"/>
                    </a:xfrm>
                    <a:prstGeom prst="rect">
                      <a:avLst/>
                    </a:prstGeom>
                    <a:noFill/>
                    <a:ln>
                      <a:noFill/>
                    </a:ln>
                  </pic:spPr>
                </pic:pic>
              </a:graphicData>
            </a:graphic>
          </wp:inline>
        </w:drawing>
      </w:r>
    </w:p>
    <w:p w14:paraId="5CBB0C75" w14:textId="77777777" w:rsidR="009E50CA" w:rsidRPr="00AF775F" w:rsidRDefault="003461B6" w:rsidP="009E50CA">
      <w:pPr>
        <w:pStyle w:val="Body"/>
        <w:snapToGrid w:val="0"/>
        <w:spacing w:before="120"/>
        <w:contextualSpacing/>
        <w:jc w:val="center"/>
        <w:rPr>
          <w:rFonts w:ascii="ShangralaW90-Regular" w:eastAsia="Cambria" w:hAnsi="ShangralaW90-Regular" w:cs="Cambria"/>
          <w:color w:val="000000" w:themeColor="text1"/>
          <w:u w:color="FF0000"/>
        </w:rPr>
      </w:pPr>
      <w:r w:rsidRPr="00AF775F">
        <w:rPr>
          <w:rFonts w:ascii="ShangralaW90-Regular" w:eastAsia="Cambria" w:hAnsi="ShangralaW90-Regular" w:cs="Cambria"/>
          <w:i/>
          <w:color w:val="000000" w:themeColor="text1"/>
          <w:u w:color="FF0000"/>
        </w:rPr>
        <w:t>Figure 2.</w:t>
      </w:r>
      <w:r w:rsidRPr="00AF775F">
        <w:rPr>
          <w:rFonts w:ascii="ShangralaW90-Regular" w:eastAsia="Cambria" w:hAnsi="ShangralaW90-Regular" w:cs="Cambria"/>
          <w:color w:val="000000" w:themeColor="text1"/>
          <w:u w:color="FF0000"/>
        </w:rPr>
        <w:t xml:space="preserve"> Manufacturing FDI by Country Origin in Riau Islands</w:t>
      </w:r>
    </w:p>
    <w:p w14:paraId="0ED9CEC2" w14:textId="77777777" w:rsidR="009E50CA" w:rsidRDefault="003461B6" w:rsidP="000F1C1F">
      <w:pPr>
        <w:pStyle w:val="Body"/>
        <w:spacing w:after="120"/>
        <w:jc w:val="center"/>
        <w:rPr>
          <w:rFonts w:ascii="ShangralaW90-Regular" w:eastAsia="Cambria" w:hAnsi="ShangralaW90-Regular" w:cs="Cambria"/>
          <w:color w:val="000000" w:themeColor="text1"/>
          <w:u w:color="FF0000"/>
        </w:rPr>
      </w:pPr>
      <w:r>
        <w:rPr>
          <w:rFonts w:ascii="ShangralaW90-Regular" w:eastAsia="Cambria" w:hAnsi="ShangralaW90-Regular" w:cs="Cambria"/>
          <w:color w:val="000000" w:themeColor="text1"/>
          <w:u w:color="FF0000"/>
        </w:rPr>
        <w:t>(</w:t>
      </w:r>
      <w:r w:rsidR="00AF775F">
        <w:rPr>
          <w:rFonts w:ascii="ShangralaW90-Regular" w:eastAsia="Cambria" w:hAnsi="ShangralaW90-Regular" w:cs="Cambria"/>
          <w:color w:val="000000" w:themeColor="text1"/>
          <w:u w:color="FF0000"/>
        </w:rPr>
        <w:t xml:space="preserve">Source: </w:t>
      </w:r>
      <w:r w:rsidRPr="00900A1C">
        <w:rPr>
          <w:rFonts w:ascii="ShangralaW90-Regular" w:eastAsia="Cambria" w:hAnsi="ShangralaW90-Regular" w:cs="Cambria"/>
          <w:color w:val="000000" w:themeColor="text1"/>
          <w:highlight w:val="green"/>
          <w:u w:color="FF0000"/>
        </w:rPr>
        <w:t>Author</w:t>
      </w:r>
      <w:r w:rsidR="00AF775F" w:rsidRPr="00900A1C">
        <w:rPr>
          <w:rFonts w:ascii="ShangralaW90-Regular" w:eastAsia="Cambria" w:hAnsi="ShangralaW90-Regular" w:cs="Cambria"/>
          <w:color w:val="000000" w:themeColor="text1"/>
          <w:highlight w:val="green"/>
          <w:u w:color="FF0000"/>
        </w:rPr>
        <w:t>s</w:t>
      </w:r>
      <w:r w:rsidR="00EA7D1D" w:rsidRPr="00900A1C">
        <w:rPr>
          <w:rFonts w:ascii="ShangralaW90-Regular" w:eastAsia="Cambria" w:hAnsi="ShangralaW90-Regular" w:cs="Cambria"/>
          <w:color w:val="000000" w:themeColor="text1"/>
          <w:highlight w:val="green"/>
          <w:u w:color="FF0000"/>
        </w:rPr>
        <w:t>’</w:t>
      </w:r>
      <w:r w:rsidR="00AF775F">
        <w:rPr>
          <w:rFonts w:ascii="ShangralaW90-Regular" w:eastAsia="Cambria" w:hAnsi="ShangralaW90-Regular" w:cs="Cambria"/>
          <w:color w:val="000000" w:themeColor="text1"/>
          <w:u w:color="FF0000"/>
        </w:rPr>
        <w:t xml:space="preserve"> compilation</w:t>
      </w:r>
      <w:r w:rsidRPr="009E50CA">
        <w:rPr>
          <w:rFonts w:ascii="ShangralaW90-Regular" w:eastAsia="Cambria" w:hAnsi="ShangralaW90-Regular" w:cs="Cambria"/>
          <w:color w:val="000000" w:themeColor="text1"/>
          <w:u w:color="FF0000"/>
        </w:rPr>
        <w:t>, based on data from NSWi Ministry of Investment (n.d.)</w:t>
      </w:r>
      <w:r>
        <w:rPr>
          <w:rFonts w:ascii="ShangralaW90-Regular" w:eastAsia="Cambria" w:hAnsi="ShangralaW90-Regular" w:cs="Cambria"/>
          <w:color w:val="000000" w:themeColor="text1"/>
          <w:u w:color="FF0000"/>
        </w:rPr>
        <w:t>)</w:t>
      </w:r>
    </w:p>
    <w:p w14:paraId="54DDA252" w14:textId="77777777" w:rsidR="000F1C1F" w:rsidRDefault="000F1C1F" w:rsidP="009E50CA">
      <w:pPr>
        <w:pStyle w:val="Body"/>
        <w:ind w:firstLine="539"/>
        <w:jc w:val="both"/>
        <w:rPr>
          <w:rFonts w:ascii="ShangralaW90-Regular" w:eastAsia="Cambria" w:hAnsi="ShangralaW90-Regular" w:cs="Cambria"/>
          <w:color w:val="000000" w:themeColor="text1"/>
          <w:u w:color="FF0000"/>
        </w:rPr>
      </w:pPr>
    </w:p>
    <w:p w14:paraId="55A90652" w14:textId="60C9459A" w:rsidR="009E50CA" w:rsidRPr="009E50CA" w:rsidRDefault="003461B6" w:rsidP="009E50CA">
      <w:pPr>
        <w:pStyle w:val="Body"/>
        <w:ind w:firstLine="539"/>
        <w:jc w:val="both"/>
        <w:rPr>
          <w:rFonts w:ascii="ShangralaW90-Regular" w:eastAsia="Cambria" w:hAnsi="ShangralaW90-Regular" w:cs="Cambria"/>
          <w:color w:val="000000" w:themeColor="text1"/>
          <w:u w:color="FF0000"/>
        </w:rPr>
      </w:pPr>
      <w:r w:rsidRPr="009E50CA">
        <w:rPr>
          <w:rFonts w:ascii="ShangralaW90-Regular" w:eastAsia="Cambria" w:hAnsi="ShangralaW90-Regular" w:cs="Cambria"/>
          <w:color w:val="000000" w:themeColor="text1"/>
          <w:u w:color="FF0000"/>
        </w:rPr>
        <w:t xml:space="preserve">For the one-way ANOVA test of Malaysia's manufacturing investment, </w:t>
      </w:r>
      <w:r w:rsidRPr="00350360">
        <w:rPr>
          <w:rFonts w:ascii="ShangralaW90-Regular" w:eastAsia="Cambria" w:hAnsi="ShangralaW90-Regular" w:cs="Cambria"/>
          <w:color w:val="000000" w:themeColor="text1"/>
          <w:highlight w:val="green"/>
          <w:u w:color="FF0000"/>
        </w:rPr>
        <w:t>author</w:t>
      </w:r>
      <w:r w:rsidR="00350360" w:rsidRPr="00350360">
        <w:rPr>
          <w:rFonts w:ascii="ShangralaW90-Regular" w:eastAsia="Cambria" w:hAnsi="ShangralaW90-Regular" w:cs="Cambria"/>
          <w:color w:val="000000" w:themeColor="text1"/>
          <w:highlight w:val="green"/>
          <w:u w:color="FF0000"/>
        </w:rPr>
        <w:t>s</w:t>
      </w:r>
      <w:r w:rsidRPr="009E50CA">
        <w:rPr>
          <w:rFonts w:ascii="ShangralaW90-Regular" w:eastAsia="Cambria" w:hAnsi="ShangralaW90-Regular" w:cs="Cambria"/>
          <w:color w:val="000000" w:themeColor="text1"/>
          <w:u w:color="FF0000"/>
        </w:rPr>
        <w:t xml:space="preserve"> did not consider the comparison between Malaysia and Singapore to avoid redundancy, similar to the total FDI case. Instead, </w:t>
      </w:r>
      <w:r w:rsidRPr="00350360">
        <w:rPr>
          <w:rFonts w:ascii="ShangralaW90-Regular" w:eastAsia="Cambria" w:hAnsi="ShangralaW90-Regular" w:cs="Cambria"/>
          <w:color w:val="000000" w:themeColor="text1"/>
          <w:highlight w:val="green"/>
          <w:u w:color="FF0000"/>
        </w:rPr>
        <w:t>author</w:t>
      </w:r>
      <w:r w:rsidR="00350360" w:rsidRPr="00350360">
        <w:rPr>
          <w:rFonts w:ascii="ShangralaW90-Regular" w:eastAsia="Cambria" w:hAnsi="ShangralaW90-Regular" w:cs="Cambria"/>
          <w:color w:val="000000" w:themeColor="text1"/>
          <w:highlight w:val="green"/>
          <w:u w:color="FF0000"/>
        </w:rPr>
        <w:t>s</w:t>
      </w:r>
      <w:r w:rsidRPr="009E50CA">
        <w:rPr>
          <w:rFonts w:ascii="ShangralaW90-Regular" w:eastAsia="Cambria" w:hAnsi="ShangralaW90-Regular" w:cs="Cambria"/>
          <w:color w:val="000000" w:themeColor="text1"/>
          <w:u w:color="FF0000"/>
        </w:rPr>
        <w:t xml:space="preserve"> compared Malaysia’s manufacturing investment with East Asian Countries’ and U</w:t>
      </w:r>
      <w:r w:rsidR="00B31035">
        <w:rPr>
          <w:rFonts w:ascii="ShangralaW90-Regular" w:eastAsia="Cambria" w:hAnsi="ShangralaW90-Regular" w:cs="Cambria"/>
          <w:color w:val="000000" w:themeColor="text1"/>
          <w:u w:color="FF0000"/>
        </w:rPr>
        <w:t>S</w:t>
      </w:r>
      <w:r w:rsidRPr="009E50CA">
        <w:rPr>
          <w:rFonts w:ascii="ShangralaW90-Regular" w:eastAsia="Cambria" w:hAnsi="ShangralaW90-Regular" w:cs="Cambria"/>
          <w:color w:val="000000" w:themeColor="text1"/>
          <w:u w:color="FF0000"/>
        </w:rPr>
        <w:t xml:space="preserve">’ manufacturing investment that the computed Sig values </w:t>
      </w:r>
      <w:r w:rsidR="00350360" w:rsidRPr="00350360">
        <w:rPr>
          <w:rFonts w:ascii="ShangralaW90-Regular" w:eastAsia="Cambria" w:hAnsi="ShangralaW90-Regular" w:cs="Cambria"/>
          <w:color w:val="000000" w:themeColor="text1"/>
          <w:highlight w:val="green"/>
          <w:u w:color="FF0000"/>
        </w:rPr>
        <w:t>a</w:t>
      </w:r>
      <w:r w:rsidRPr="00350360">
        <w:rPr>
          <w:rFonts w:ascii="ShangralaW90-Regular" w:eastAsia="Cambria" w:hAnsi="ShangralaW90-Regular" w:cs="Cambria"/>
          <w:color w:val="000000" w:themeColor="text1"/>
          <w:highlight w:val="green"/>
          <w:u w:color="FF0000"/>
        </w:rPr>
        <w:t>re</w:t>
      </w:r>
      <w:r w:rsidRPr="009E50CA">
        <w:rPr>
          <w:rFonts w:ascii="ShangralaW90-Regular" w:eastAsia="Cambria" w:hAnsi="ShangralaW90-Regular" w:cs="Cambria"/>
          <w:color w:val="000000" w:themeColor="text1"/>
          <w:u w:color="FF0000"/>
        </w:rPr>
        <w:t xml:space="preserve"> greater than the 0.05 significance level (Table 3)</w:t>
      </w:r>
      <w:r w:rsidR="004417CB">
        <w:rPr>
          <w:rFonts w:ascii="ShangralaW90-Regular" w:eastAsia="Cambria" w:hAnsi="ShangralaW90-Regular" w:cs="Cambria"/>
          <w:color w:val="000000" w:themeColor="text1"/>
          <w:u w:color="FF0000"/>
        </w:rPr>
        <w:t>, meaning</w:t>
      </w:r>
      <w:r w:rsidRPr="009E50CA">
        <w:rPr>
          <w:rFonts w:ascii="ShangralaW90-Regular" w:eastAsia="Cambria" w:hAnsi="ShangralaW90-Regular" w:cs="Cambria"/>
          <w:color w:val="000000" w:themeColor="text1"/>
          <w:u w:color="FF0000"/>
        </w:rPr>
        <w:t xml:space="preserve"> </w:t>
      </w:r>
      <w:r w:rsidRPr="00350360">
        <w:rPr>
          <w:rFonts w:ascii="ShangralaW90-Regular" w:eastAsia="Cambria" w:hAnsi="ShangralaW90-Regular" w:cs="Cambria"/>
          <w:color w:val="000000" w:themeColor="text1"/>
          <w:highlight w:val="green"/>
          <w:u w:color="FF0000"/>
        </w:rPr>
        <w:t>author</w:t>
      </w:r>
      <w:r w:rsidR="00350360" w:rsidRPr="00350360">
        <w:rPr>
          <w:rFonts w:ascii="ShangralaW90-Regular" w:eastAsia="Cambria" w:hAnsi="ShangralaW90-Regular" w:cs="Cambria"/>
          <w:color w:val="000000" w:themeColor="text1"/>
          <w:highlight w:val="green"/>
          <w:u w:color="FF0000"/>
        </w:rPr>
        <w:t>s</w:t>
      </w:r>
      <w:r w:rsidRPr="009E50CA">
        <w:rPr>
          <w:rFonts w:ascii="ShangralaW90-Regular" w:eastAsia="Cambria" w:hAnsi="ShangralaW90-Regular" w:cs="Cambria"/>
          <w:color w:val="000000" w:themeColor="text1"/>
          <w:u w:color="FF0000"/>
        </w:rPr>
        <w:t xml:space="preserve"> failed to reject </w:t>
      </w:r>
      <w:r w:rsidRPr="00350360">
        <w:rPr>
          <w:rFonts w:ascii="ShangralaW90-Regular" w:eastAsia="Cambria" w:hAnsi="ShangralaW90-Regular" w:cs="Cambria"/>
          <w:color w:val="000000" w:themeColor="text1"/>
          <w:highlight w:val="green"/>
          <w:u w:color="FF0000"/>
        </w:rPr>
        <w:t>H</w:t>
      </w:r>
      <w:r w:rsidRPr="00350360">
        <w:rPr>
          <w:rFonts w:ascii="ShangralaW90-Regular" w:eastAsia="Cambria" w:hAnsi="ShangralaW90-Regular" w:cs="Cambria"/>
          <w:color w:val="000000" w:themeColor="text1"/>
          <w:highlight w:val="green"/>
          <w:u w:color="FF0000"/>
          <w:vertAlign w:val="subscript"/>
        </w:rPr>
        <w:t>0</w:t>
      </w:r>
      <w:r w:rsidRPr="009E50CA">
        <w:rPr>
          <w:rFonts w:ascii="ShangralaW90-Regular" w:eastAsia="Cambria" w:hAnsi="ShangralaW90-Regular" w:cs="Cambria"/>
          <w:color w:val="000000" w:themeColor="text1"/>
          <w:u w:color="FF0000"/>
        </w:rPr>
        <w:t xml:space="preserve">, that is Malaysia's manufacturing FDI </w:t>
      </w:r>
      <w:r w:rsidR="00350360" w:rsidRPr="00350360">
        <w:rPr>
          <w:rFonts w:ascii="ShangralaW90-Regular" w:eastAsia="Cambria" w:hAnsi="ShangralaW90-Regular" w:cs="Cambria"/>
          <w:color w:val="000000" w:themeColor="text1"/>
          <w:highlight w:val="green"/>
          <w:u w:color="FF0000"/>
        </w:rPr>
        <w:t>i</w:t>
      </w:r>
      <w:r w:rsidRPr="00350360">
        <w:rPr>
          <w:rFonts w:ascii="ShangralaW90-Regular" w:eastAsia="Cambria" w:hAnsi="ShangralaW90-Regular" w:cs="Cambria"/>
          <w:color w:val="000000" w:themeColor="text1"/>
          <w:highlight w:val="green"/>
          <w:u w:color="FF0000"/>
        </w:rPr>
        <w:t>s</w:t>
      </w:r>
      <w:r w:rsidRPr="009E50CA">
        <w:rPr>
          <w:rFonts w:ascii="ShangralaW90-Regular" w:eastAsia="Cambria" w:hAnsi="ShangralaW90-Regular" w:cs="Cambria"/>
          <w:color w:val="000000" w:themeColor="text1"/>
          <w:u w:color="FF0000"/>
        </w:rPr>
        <w:t xml:space="preserve"> not significantly different from the manufacturing FDI from other countries (Hypothesis 2). The mean difference </w:t>
      </w:r>
      <w:r w:rsidR="00350360" w:rsidRPr="00350360">
        <w:rPr>
          <w:rFonts w:ascii="ShangralaW90-Regular" w:eastAsia="Cambria" w:hAnsi="ShangralaW90-Regular" w:cs="Cambria"/>
          <w:color w:val="000000" w:themeColor="text1"/>
          <w:highlight w:val="green"/>
          <w:u w:color="FF0000"/>
        </w:rPr>
        <w:t>is</w:t>
      </w:r>
      <w:r w:rsidRPr="009E50CA">
        <w:rPr>
          <w:rFonts w:ascii="ShangralaW90-Regular" w:eastAsia="Cambria" w:hAnsi="ShangralaW90-Regular" w:cs="Cambria"/>
          <w:color w:val="000000" w:themeColor="text1"/>
          <w:u w:color="FF0000"/>
        </w:rPr>
        <w:t xml:space="preserve"> negative for East Asian Countries, meaning the mean of Malaysia’s manufacturing investment </w:t>
      </w:r>
      <w:r w:rsidR="006B1063" w:rsidRPr="006B1063">
        <w:rPr>
          <w:rFonts w:ascii="ShangralaW90-Regular" w:eastAsia="Cambria" w:hAnsi="ShangralaW90-Regular" w:cs="Cambria"/>
          <w:color w:val="000000" w:themeColor="text1"/>
          <w:u w:color="FF0000"/>
        </w:rPr>
        <w:t xml:space="preserve">was </w:t>
      </w:r>
      <w:r w:rsidRPr="009E50CA">
        <w:rPr>
          <w:rFonts w:ascii="ShangralaW90-Regular" w:eastAsia="Cambria" w:hAnsi="ShangralaW90-Regular" w:cs="Cambria"/>
          <w:color w:val="000000" w:themeColor="text1"/>
          <w:u w:color="FF0000"/>
        </w:rPr>
        <w:t xml:space="preserve">less than the means of manufacturing investment from East Asian countries. The mean difference </w:t>
      </w:r>
      <w:r w:rsidR="00350360" w:rsidRPr="00350360">
        <w:rPr>
          <w:rFonts w:ascii="ShangralaW90-Regular" w:eastAsia="Cambria" w:hAnsi="ShangralaW90-Regular" w:cs="Cambria"/>
          <w:color w:val="000000" w:themeColor="text1"/>
          <w:highlight w:val="green"/>
          <w:u w:color="FF0000"/>
        </w:rPr>
        <w:t>i</w:t>
      </w:r>
      <w:r w:rsidRPr="00350360">
        <w:rPr>
          <w:rFonts w:ascii="ShangralaW90-Regular" w:eastAsia="Cambria" w:hAnsi="ShangralaW90-Regular" w:cs="Cambria"/>
          <w:color w:val="000000" w:themeColor="text1"/>
          <w:highlight w:val="green"/>
          <w:u w:color="FF0000"/>
        </w:rPr>
        <w:t>s</w:t>
      </w:r>
      <w:r w:rsidRPr="009E50CA">
        <w:rPr>
          <w:rFonts w:ascii="ShangralaW90-Regular" w:eastAsia="Cambria" w:hAnsi="ShangralaW90-Regular" w:cs="Cambria"/>
          <w:color w:val="000000" w:themeColor="text1"/>
          <w:u w:color="FF0000"/>
        </w:rPr>
        <w:t xml:space="preserve"> positive for the U</w:t>
      </w:r>
      <w:r w:rsidR="00B31035">
        <w:rPr>
          <w:rFonts w:ascii="ShangralaW90-Regular" w:eastAsia="Cambria" w:hAnsi="ShangralaW90-Regular" w:cs="Cambria"/>
          <w:color w:val="000000" w:themeColor="text1"/>
          <w:u w:color="FF0000"/>
        </w:rPr>
        <w:t>S</w:t>
      </w:r>
      <w:r w:rsidRPr="009E50CA">
        <w:rPr>
          <w:rFonts w:ascii="ShangralaW90-Regular" w:eastAsia="Cambria" w:hAnsi="ShangralaW90-Regular" w:cs="Cambria"/>
          <w:color w:val="000000" w:themeColor="text1"/>
          <w:u w:color="FF0000"/>
        </w:rPr>
        <w:t xml:space="preserve">, meaning the mean of Malaysia's manufacturing investment </w:t>
      </w:r>
      <w:r w:rsidR="006B1063">
        <w:rPr>
          <w:rFonts w:ascii="ShangralaW90-Regular" w:eastAsia="Cambria" w:hAnsi="ShangralaW90-Regular" w:cs="Cambria"/>
          <w:color w:val="000000" w:themeColor="text1"/>
          <w:u w:color="FF0000"/>
        </w:rPr>
        <w:t>was</w:t>
      </w:r>
      <w:r w:rsidRPr="009E50CA">
        <w:rPr>
          <w:rFonts w:ascii="ShangralaW90-Regular" w:eastAsia="Cambria" w:hAnsi="ShangralaW90-Regular" w:cs="Cambria"/>
          <w:color w:val="000000" w:themeColor="text1"/>
          <w:u w:color="FF0000"/>
        </w:rPr>
        <w:t xml:space="preserve"> greater than the mean of the U</w:t>
      </w:r>
      <w:r w:rsidR="00B31035">
        <w:rPr>
          <w:rFonts w:ascii="ShangralaW90-Regular" w:eastAsia="Cambria" w:hAnsi="ShangralaW90-Regular" w:cs="Cambria"/>
          <w:color w:val="000000" w:themeColor="text1"/>
          <w:u w:color="FF0000"/>
        </w:rPr>
        <w:t>S</w:t>
      </w:r>
      <w:r w:rsidRPr="009E50CA">
        <w:rPr>
          <w:rFonts w:ascii="ShangralaW90-Regular" w:eastAsia="Cambria" w:hAnsi="ShangralaW90-Regular" w:cs="Cambria"/>
          <w:color w:val="000000" w:themeColor="text1"/>
          <w:u w:color="FF0000"/>
        </w:rPr>
        <w:t xml:space="preserve">' manufacturing investment. </w:t>
      </w:r>
    </w:p>
    <w:p w14:paraId="50644C28" w14:textId="77777777" w:rsidR="009E50CA" w:rsidRDefault="003461B6" w:rsidP="009E50CA">
      <w:pPr>
        <w:pStyle w:val="Body"/>
        <w:ind w:firstLine="539"/>
        <w:jc w:val="both"/>
        <w:rPr>
          <w:rFonts w:ascii="ShangralaW90-Regular" w:eastAsia="Cambria" w:hAnsi="ShangralaW90-Regular" w:cs="Cambria"/>
          <w:color w:val="000000" w:themeColor="text1"/>
          <w:u w:color="FF0000"/>
        </w:rPr>
      </w:pPr>
      <w:r w:rsidRPr="009E50CA">
        <w:rPr>
          <w:rFonts w:ascii="ShangralaW90-Regular" w:eastAsia="Cambria" w:hAnsi="ShangralaW90-Regular" w:cs="Cambria"/>
          <w:color w:val="000000" w:themeColor="text1"/>
          <w:u w:color="FF0000"/>
        </w:rPr>
        <w:t xml:space="preserve">In the non-manufacturing sector, Singapore's FDI played a significant role in the economic development of the Riau Islands. Singapore's non-manufacturing FDI was USD 2.4 billion from 1990 to 2020. In the early decade of the growth triangle, Singapore's non-manufacturing investment hiked up and left other countries' FDI behind. In 2019, Singapore's non-manufacturing FDI (USD 99 million) was less than Malaysia's non-manufacturing FDI (USD 141 million) but Singapore's manufacturing FDI continued to be higher than that of Malaysia in 2020. In 1994, Hong Kong invested in the non-manufacturing sector (i.e., the trade and reparation subsector), which was earlier than that of Malaysia. Investment in the non-manufacturing sector from Malaysia (i.e., hotel and restaurant subsector with an investment value of USD 4.8 million) was firstly initiated in 1999. Malaysia's non-manufacturing investment then surpassed investment in the same sector from East Asian Countries in 1999, 2008, 2011-2013, 2017-2019. Thus, Malaysia's non-manufacturing FDI was USD 322.8 million from 1999 to 2020 (Figure 3). </w:t>
      </w:r>
    </w:p>
    <w:p w14:paraId="32CA889A" w14:textId="77777777" w:rsidR="009E50CA" w:rsidRPr="004417CB" w:rsidRDefault="003461B6" w:rsidP="00412070">
      <w:pPr>
        <w:pStyle w:val="Body"/>
        <w:spacing w:after="240"/>
        <w:ind w:firstLine="539"/>
        <w:jc w:val="both"/>
        <w:rPr>
          <w:rFonts w:ascii="ShangralaW90-Regular" w:eastAsia="Cambria" w:hAnsi="ShangralaW90-Regular" w:cs="Cambria"/>
          <w:color w:val="000000" w:themeColor="text1"/>
          <w:u w:color="FF0000"/>
        </w:rPr>
      </w:pPr>
      <w:r w:rsidRPr="009E50CA">
        <w:rPr>
          <w:rFonts w:ascii="ShangralaW90-Regular" w:eastAsia="Cambria" w:hAnsi="ShangralaW90-Regular" w:cs="Cambria"/>
          <w:color w:val="000000" w:themeColor="text1"/>
          <w:u w:color="FF0000"/>
        </w:rPr>
        <w:t xml:space="preserve">One-way ANOVA test (posthoc test) was conducted by comparing non-manufacturing FDI by country origin in Riau Islands. The output of the posthoc test (Tukey HSD) </w:t>
      </w:r>
      <w:r w:rsidRPr="003002FC">
        <w:rPr>
          <w:rFonts w:ascii="ShangralaW90-Regular" w:eastAsia="Cambria" w:hAnsi="ShangralaW90-Regular" w:cs="Cambria"/>
          <w:color w:val="000000" w:themeColor="text1"/>
          <w:highlight w:val="green"/>
          <w:u w:color="FF0000"/>
        </w:rPr>
        <w:t>demonstrate</w:t>
      </w:r>
      <w:r w:rsidR="003002FC" w:rsidRPr="003002FC">
        <w:rPr>
          <w:rFonts w:ascii="ShangralaW90-Regular" w:eastAsia="Cambria" w:hAnsi="ShangralaW90-Regular" w:cs="Cambria"/>
          <w:color w:val="000000" w:themeColor="text1"/>
          <w:highlight w:val="green"/>
          <w:u w:color="FF0000"/>
        </w:rPr>
        <w:t>s</w:t>
      </w:r>
      <w:r w:rsidRPr="009E50CA">
        <w:rPr>
          <w:rFonts w:ascii="ShangralaW90-Regular" w:eastAsia="Cambria" w:hAnsi="ShangralaW90-Regular" w:cs="Cambria"/>
          <w:color w:val="000000" w:themeColor="text1"/>
          <w:u w:color="FF0000"/>
        </w:rPr>
        <w:t xml:space="preserve"> that the Sig values for comparison between non-manufacturing FDI from Singapore and other countries </w:t>
      </w:r>
      <w:r w:rsidR="003002FC" w:rsidRPr="003002FC">
        <w:rPr>
          <w:rFonts w:ascii="ShangralaW90-Regular" w:eastAsia="Cambria" w:hAnsi="ShangralaW90-Regular" w:cs="Cambria"/>
          <w:color w:val="000000" w:themeColor="text1"/>
          <w:highlight w:val="green"/>
          <w:u w:color="FF0000"/>
        </w:rPr>
        <w:t>are</w:t>
      </w:r>
      <w:r w:rsidRPr="009E50CA">
        <w:rPr>
          <w:rFonts w:ascii="ShangralaW90-Regular" w:eastAsia="Cambria" w:hAnsi="ShangralaW90-Regular" w:cs="Cambria"/>
          <w:color w:val="000000" w:themeColor="text1"/>
          <w:u w:color="FF0000"/>
        </w:rPr>
        <w:t xml:space="preserve"> 0.000, which is less than the 0.05 significance level (Table 3)</w:t>
      </w:r>
      <w:r w:rsidR="004417CB">
        <w:rPr>
          <w:rFonts w:ascii="ShangralaW90-Regular" w:eastAsia="Cambria" w:hAnsi="ShangralaW90-Regular" w:cs="Cambria"/>
          <w:color w:val="000000" w:themeColor="text1"/>
          <w:u w:color="FF0000"/>
        </w:rPr>
        <w:t>, meaning</w:t>
      </w:r>
      <w:r w:rsidRPr="009E50CA">
        <w:rPr>
          <w:rFonts w:ascii="ShangralaW90-Regular" w:eastAsia="Cambria" w:hAnsi="ShangralaW90-Regular" w:cs="Cambria"/>
          <w:color w:val="000000" w:themeColor="text1"/>
          <w:u w:color="FF0000"/>
        </w:rPr>
        <w:t xml:space="preserve"> we accepted </w:t>
      </w:r>
      <w:r w:rsidRPr="003002FC">
        <w:rPr>
          <w:rFonts w:ascii="ShangralaW90-Regular" w:eastAsia="Cambria" w:hAnsi="ShangralaW90-Regular" w:cs="Cambria"/>
          <w:color w:val="000000" w:themeColor="text1"/>
          <w:highlight w:val="green"/>
          <w:u w:color="FF0000"/>
        </w:rPr>
        <w:t>H</w:t>
      </w:r>
      <w:r w:rsidRPr="003002FC">
        <w:rPr>
          <w:rFonts w:ascii="ShangralaW90-Regular" w:eastAsia="Cambria" w:hAnsi="ShangralaW90-Regular" w:cs="Cambria"/>
          <w:color w:val="000000" w:themeColor="text1"/>
          <w:highlight w:val="green"/>
          <w:u w:color="FF0000"/>
          <w:vertAlign w:val="subscript"/>
        </w:rPr>
        <w:t>1</w:t>
      </w:r>
      <w:r w:rsidRPr="009E50CA">
        <w:rPr>
          <w:rFonts w:ascii="ShangralaW90-Regular" w:eastAsia="Cambria" w:hAnsi="ShangralaW90-Regular" w:cs="Cambria"/>
          <w:color w:val="000000" w:themeColor="text1"/>
          <w:u w:color="FF0000"/>
        </w:rPr>
        <w:t xml:space="preserve">, that is Singapore’s non-manufacturing FDI in Riau Islands </w:t>
      </w:r>
      <w:r w:rsidR="006B1063" w:rsidRPr="006B1063">
        <w:rPr>
          <w:rFonts w:ascii="ShangralaW90-Regular" w:eastAsia="Cambria" w:hAnsi="ShangralaW90-Regular" w:cs="Cambria"/>
          <w:color w:val="000000" w:themeColor="text1"/>
          <w:highlight w:val="green"/>
          <w:u w:color="FF0000"/>
        </w:rPr>
        <w:t>is</w:t>
      </w:r>
      <w:r w:rsidR="006B1063">
        <w:rPr>
          <w:rFonts w:ascii="ShangralaW90-Regular" w:eastAsia="Cambria" w:hAnsi="ShangralaW90-Regular" w:cs="Cambria"/>
          <w:color w:val="000000" w:themeColor="text1"/>
          <w:u w:color="FF0000"/>
        </w:rPr>
        <w:t xml:space="preserve"> </w:t>
      </w:r>
      <w:r w:rsidRPr="009E50CA">
        <w:rPr>
          <w:rFonts w:ascii="ShangralaW90-Regular" w:eastAsia="Cambria" w:hAnsi="ShangralaW90-Regular" w:cs="Cambria"/>
          <w:color w:val="000000" w:themeColor="text1"/>
          <w:u w:color="FF0000"/>
        </w:rPr>
        <w:t xml:space="preserve">significantly different from non-manufacturing FDI from other countries under Hypothesis 3. The mean difference </w:t>
      </w:r>
      <w:r w:rsidR="006B1063" w:rsidRPr="006B1063">
        <w:rPr>
          <w:rFonts w:ascii="ShangralaW90-Regular" w:eastAsia="Cambria" w:hAnsi="ShangralaW90-Regular" w:cs="Cambria"/>
          <w:color w:val="000000" w:themeColor="text1"/>
          <w:highlight w:val="green"/>
          <w:u w:color="FF0000"/>
        </w:rPr>
        <w:t>is</w:t>
      </w:r>
      <w:r w:rsidRPr="009E50CA">
        <w:rPr>
          <w:rFonts w:ascii="ShangralaW90-Regular" w:eastAsia="Cambria" w:hAnsi="ShangralaW90-Regular" w:cs="Cambria"/>
          <w:color w:val="000000" w:themeColor="text1"/>
          <w:u w:color="FF0000"/>
        </w:rPr>
        <w:t xml:space="preserve"> positive, meaning the mean of Singapore’s non-manufacturing FDI was larger than the means of non-manufacturing FDI from other countries.</w:t>
      </w:r>
    </w:p>
    <w:p w14:paraId="1EE74F45" w14:textId="77777777" w:rsidR="000F1C1F" w:rsidRDefault="003461B6" w:rsidP="009E50CA">
      <w:pPr>
        <w:jc w:val="center"/>
        <w:rPr>
          <w:rFonts w:ascii="ShangralaW90-Regular" w:hAnsi="ShangralaW90-Regular"/>
          <w:b/>
          <w:bCs/>
          <w:i/>
          <w:sz w:val="22"/>
          <w:szCs w:val="22"/>
        </w:rPr>
      </w:pPr>
      <w:r>
        <w:rPr>
          <w:noProof/>
        </w:rPr>
        <w:lastRenderedPageBreak/>
        <w:drawing>
          <wp:inline distT="0" distB="0" distL="0" distR="0" wp14:anchorId="572670D1" wp14:editId="78C2F0BE">
            <wp:extent cx="5727700" cy="265049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27700" cy="2650490"/>
                    </a:xfrm>
                    <a:prstGeom prst="rect">
                      <a:avLst/>
                    </a:prstGeom>
                    <a:noFill/>
                    <a:ln>
                      <a:noFill/>
                    </a:ln>
                  </pic:spPr>
                </pic:pic>
              </a:graphicData>
            </a:graphic>
          </wp:inline>
        </w:drawing>
      </w:r>
    </w:p>
    <w:p w14:paraId="2AD8BCF2" w14:textId="77777777" w:rsidR="009E50CA" w:rsidRPr="00AF775F" w:rsidRDefault="003461B6" w:rsidP="009E50CA">
      <w:pPr>
        <w:jc w:val="center"/>
        <w:rPr>
          <w:rFonts w:ascii="ShangralaW90-Regular" w:hAnsi="ShangralaW90-Regular"/>
          <w:bCs/>
          <w:sz w:val="22"/>
          <w:szCs w:val="22"/>
        </w:rPr>
      </w:pPr>
      <w:r w:rsidRPr="00AF775F">
        <w:rPr>
          <w:rFonts w:ascii="ShangralaW90-Regular" w:hAnsi="ShangralaW90-Regular"/>
          <w:bCs/>
          <w:i/>
          <w:sz w:val="22"/>
          <w:szCs w:val="22"/>
        </w:rPr>
        <w:t>Figure 3.</w:t>
      </w:r>
      <w:r w:rsidRPr="00AF775F">
        <w:rPr>
          <w:rFonts w:ascii="ShangralaW90-Regular" w:hAnsi="ShangralaW90-Regular"/>
          <w:bCs/>
          <w:sz w:val="22"/>
          <w:szCs w:val="22"/>
        </w:rPr>
        <w:t xml:space="preserve">  Non-Manufacturing FDI by Country Origin in Riau Islands </w:t>
      </w:r>
    </w:p>
    <w:p w14:paraId="57D55034" w14:textId="77777777" w:rsidR="009E50CA" w:rsidRPr="009E50CA" w:rsidRDefault="003461B6" w:rsidP="009E50CA">
      <w:pPr>
        <w:jc w:val="center"/>
        <w:rPr>
          <w:rFonts w:ascii="ShangralaW90-Regular" w:hAnsi="ShangralaW90-Regular"/>
          <w:b/>
          <w:bCs/>
          <w:sz w:val="22"/>
          <w:szCs w:val="22"/>
        </w:rPr>
      </w:pPr>
      <w:r w:rsidRPr="009E50CA">
        <w:rPr>
          <w:rFonts w:ascii="ShangralaW90-Regular" w:hAnsi="ShangralaW90-Regular"/>
          <w:bCs/>
          <w:sz w:val="22"/>
          <w:szCs w:val="22"/>
        </w:rPr>
        <w:t>(</w:t>
      </w:r>
      <w:r w:rsidR="00AF775F">
        <w:rPr>
          <w:rFonts w:ascii="ShangralaW90-Regular" w:hAnsi="ShangralaW90-Regular"/>
          <w:bCs/>
          <w:sz w:val="22"/>
          <w:szCs w:val="22"/>
        </w:rPr>
        <w:t xml:space="preserve">Source: </w:t>
      </w:r>
      <w:r w:rsidRPr="00900A1C">
        <w:rPr>
          <w:rFonts w:ascii="ShangralaW90-Regular" w:hAnsi="ShangralaW90-Regular"/>
          <w:bCs/>
          <w:sz w:val="22"/>
          <w:szCs w:val="22"/>
          <w:highlight w:val="green"/>
        </w:rPr>
        <w:t>Author</w:t>
      </w:r>
      <w:r w:rsidR="00AF775F" w:rsidRPr="00900A1C">
        <w:rPr>
          <w:rFonts w:ascii="ShangralaW90-Regular" w:hAnsi="ShangralaW90-Regular"/>
          <w:bCs/>
          <w:sz w:val="22"/>
          <w:szCs w:val="22"/>
          <w:highlight w:val="green"/>
        </w:rPr>
        <w:t>s</w:t>
      </w:r>
      <w:r w:rsidR="00900A1C" w:rsidRPr="00900A1C">
        <w:rPr>
          <w:rFonts w:ascii="ShangralaW90-Regular" w:hAnsi="ShangralaW90-Regular"/>
          <w:bCs/>
          <w:sz w:val="22"/>
          <w:szCs w:val="22"/>
          <w:highlight w:val="green"/>
        </w:rPr>
        <w:t>’</w:t>
      </w:r>
      <w:r w:rsidR="00AF775F">
        <w:rPr>
          <w:rFonts w:ascii="ShangralaW90-Regular" w:hAnsi="ShangralaW90-Regular"/>
          <w:bCs/>
          <w:sz w:val="22"/>
          <w:szCs w:val="22"/>
        </w:rPr>
        <w:t xml:space="preserve"> compilation</w:t>
      </w:r>
      <w:r w:rsidRPr="009E50CA">
        <w:rPr>
          <w:rFonts w:ascii="ShangralaW90-Regular" w:hAnsi="ShangralaW90-Regular"/>
          <w:bCs/>
          <w:sz w:val="22"/>
          <w:szCs w:val="22"/>
        </w:rPr>
        <w:t xml:space="preserve"> based on data from </w:t>
      </w:r>
      <w:r w:rsidRPr="009E50CA">
        <w:rPr>
          <w:rFonts w:ascii="ShangralaW90-Regular" w:hAnsi="ShangralaW90-Regular"/>
          <w:bCs/>
          <w:sz w:val="22"/>
          <w:szCs w:val="22"/>
        </w:rPr>
        <w:fldChar w:fldCharType="begin" w:fldLock="1"/>
      </w:r>
      <w:r w:rsidRPr="009E50CA">
        <w:rPr>
          <w:rFonts w:ascii="ShangralaW90-Regular" w:hAnsi="ShangralaW90-Regular"/>
          <w:bCs/>
          <w:sz w:val="22"/>
          <w:szCs w:val="22"/>
        </w:rPr>
        <w:instrText>ADDIN CSL_CITATION {"citationItems":[{"id":"ITEM-1","itemData":{"URL":"https://nswi.bkpm.go.id/data_statistik","author":[{"dropping-particle":"","family":"NSWiMinistryofInvestment","given":"","non-dropping-particle":"","parse-names":false,"suffix":""}],"id":"ITEM-1","issued":{"date-parts":[["0"]]},"title":"Perkembangan Investasi 1990-2020","type":"webpage"},"uris":["http://www.mendeley.com/documents/?uuid=d4883eed-530c-4217-8fda-d3e334488561"]}],"mendeley":{"formattedCitation":"(NSWiMinistryofInvestment, n.d.)","manualFormatting":"NSWi Ministry of Investment (n.d.)","plainTextFormattedCitation":"(NSWiMinistryofInvestment, n.d.)","previouslyFormattedCitation":"(NSWiMinistryofInvestment, n.d.)"},"properties":{"noteIndex":0},"schema":"https://github.com/citation-style-language/schema/raw/master/csl-citation.json"}</w:instrText>
      </w:r>
      <w:r w:rsidRPr="009E50CA">
        <w:rPr>
          <w:rFonts w:ascii="ShangralaW90-Regular" w:hAnsi="ShangralaW90-Regular"/>
          <w:bCs/>
          <w:sz w:val="22"/>
          <w:szCs w:val="22"/>
        </w:rPr>
        <w:fldChar w:fldCharType="separate"/>
      </w:r>
      <w:r w:rsidRPr="009E50CA">
        <w:rPr>
          <w:rFonts w:ascii="ShangralaW90-Regular" w:hAnsi="ShangralaW90-Regular"/>
          <w:bCs/>
          <w:noProof/>
          <w:sz w:val="22"/>
          <w:szCs w:val="22"/>
        </w:rPr>
        <w:t>NSWi Ministry of Investment (n.d.)</w:t>
      </w:r>
      <w:r w:rsidRPr="009E50CA">
        <w:rPr>
          <w:rFonts w:ascii="ShangralaW90-Regular" w:hAnsi="ShangralaW90-Regular"/>
          <w:bCs/>
          <w:sz w:val="22"/>
          <w:szCs w:val="22"/>
        </w:rPr>
        <w:fldChar w:fldCharType="end"/>
      </w:r>
      <w:r w:rsidRPr="009E50CA">
        <w:rPr>
          <w:rFonts w:ascii="ShangralaW90-Regular" w:hAnsi="ShangralaW90-Regular"/>
          <w:bCs/>
          <w:sz w:val="22"/>
          <w:szCs w:val="22"/>
        </w:rPr>
        <w:t>)</w:t>
      </w:r>
    </w:p>
    <w:p w14:paraId="2D72AEE3" w14:textId="77777777" w:rsidR="009E50CA" w:rsidRDefault="009E50CA" w:rsidP="009E50CA">
      <w:pPr>
        <w:spacing w:line="276" w:lineRule="auto"/>
        <w:ind w:firstLine="360"/>
        <w:jc w:val="both"/>
        <w:rPr>
          <w:rFonts w:ascii="ShangralaW90-Regular" w:hAnsi="ShangralaW90-Regular"/>
          <w:sz w:val="22"/>
          <w:szCs w:val="22"/>
        </w:rPr>
      </w:pPr>
    </w:p>
    <w:p w14:paraId="23AC05B2" w14:textId="026466D2" w:rsidR="009E50CA" w:rsidRDefault="003461B6" w:rsidP="009E50CA">
      <w:pPr>
        <w:spacing w:line="276" w:lineRule="auto"/>
        <w:ind w:firstLine="540"/>
        <w:jc w:val="both"/>
        <w:rPr>
          <w:rFonts w:ascii="ShangralaW90-Regular" w:hAnsi="ShangralaW90-Regular"/>
          <w:bCs/>
          <w:sz w:val="22"/>
          <w:szCs w:val="22"/>
        </w:rPr>
      </w:pPr>
      <w:r w:rsidRPr="009E50CA">
        <w:rPr>
          <w:rFonts w:ascii="ShangralaW90-Regular" w:hAnsi="ShangralaW90-Regular"/>
          <w:sz w:val="22"/>
          <w:szCs w:val="22"/>
        </w:rPr>
        <w:t xml:space="preserve">For the one-way ANOVA test of Malaysia's non-manufacturing investment, </w:t>
      </w:r>
      <w:r w:rsidRPr="00887CF2">
        <w:rPr>
          <w:rFonts w:ascii="ShangralaW90-Regular" w:hAnsi="ShangralaW90-Regular"/>
          <w:sz w:val="22"/>
          <w:szCs w:val="22"/>
          <w:highlight w:val="green"/>
        </w:rPr>
        <w:t>author</w:t>
      </w:r>
      <w:r w:rsidR="00887CF2" w:rsidRPr="00887CF2">
        <w:rPr>
          <w:rFonts w:ascii="ShangralaW90-Regular" w:hAnsi="ShangralaW90-Regular"/>
          <w:sz w:val="22"/>
          <w:szCs w:val="22"/>
          <w:highlight w:val="green"/>
        </w:rPr>
        <w:t>s</w:t>
      </w:r>
      <w:r w:rsidRPr="009E50CA">
        <w:rPr>
          <w:rFonts w:ascii="ShangralaW90-Regular" w:hAnsi="ShangralaW90-Regular"/>
          <w:sz w:val="22"/>
          <w:szCs w:val="22"/>
        </w:rPr>
        <w:t xml:space="preserve"> </w:t>
      </w:r>
      <w:r w:rsidR="00C579A5">
        <w:rPr>
          <w:rFonts w:ascii="ShangralaW90-Regular" w:hAnsi="ShangralaW90-Regular"/>
          <w:sz w:val="22"/>
          <w:szCs w:val="22"/>
        </w:rPr>
        <w:t xml:space="preserve">only </w:t>
      </w:r>
      <w:r w:rsidRPr="009E50CA">
        <w:rPr>
          <w:rFonts w:ascii="ShangralaW90-Regular" w:hAnsi="ShangralaW90-Regular"/>
          <w:sz w:val="22"/>
          <w:szCs w:val="22"/>
        </w:rPr>
        <w:t>compared Malaysia's non-manufacturing investment with East Asian Countries' and U</w:t>
      </w:r>
      <w:r w:rsidR="00B31035">
        <w:rPr>
          <w:rFonts w:ascii="ShangralaW90-Regular" w:hAnsi="ShangralaW90-Regular"/>
          <w:sz w:val="22"/>
          <w:szCs w:val="22"/>
        </w:rPr>
        <w:t>S</w:t>
      </w:r>
      <w:r w:rsidRPr="009E50CA">
        <w:rPr>
          <w:rFonts w:ascii="ShangralaW90-Regular" w:hAnsi="ShangralaW90-Regular"/>
          <w:sz w:val="22"/>
          <w:szCs w:val="22"/>
        </w:rPr>
        <w:t xml:space="preserve">' non-manufacturing investments that the computed Sig values </w:t>
      </w:r>
      <w:r w:rsidR="00887CF2" w:rsidRPr="00887CF2">
        <w:rPr>
          <w:rFonts w:ascii="ShangralaW90-Regular" w:hAnsi="ShangralaW90-Regular"/>
          <w:sz w:val="22"/>
          <w:szCs w:val="22"/>
          <w:highlight w:val="green"/>
        </w:rPr>
        <w:t>are</w:t>
      </w:r>
      <w:r w:rsidRPr="009E50CA">
        <w:rPr>
          <w:rFonts w:ascii="ShangralaW90-Regular" w:hAnsi="ShangralaW90-Regular"/>
          <w:sz w:val="22"/>
          <w:szCs w:val="22"/>
        </w:rPr>
        <w:t xml:space="preserve"> greater than the 0.05 significance level (Table 3). It means author</w:t>
      </w:r>
      <w:r w:rsidR="00BE2773">
        <w:rPr>
          <w:rFonts w:ascii="ShangralaW90-Regular" w:hAnsi="ShangralaW90-Regular"/>
          <w:sz w:val="22"/>
          <w:szCs w:val="22"/>
        </w:rPr>
        <w:t>s</w:t>
      </w:r>
      <w:r w:rsidRPr="009E50CA">
        <w:rPr>
          <w:rFonts w:ascii="ShangralaW90-Regular" w:hAnsi="ShangralaW90-Regular"/>
          <w:sz w:val="22"/>
          <w:szCs w:val="22"/>
        </w:rPr>
        <w:t xml:space="preserve"> failed to reject </w:t>
      </w:r>
      <w:r w:rsidRPr="00887CF2">
        <w:rPr>
          <w:rFonts w:ascii="ShangralaW90-Regular" w:hAnsi="ShangralaW90-Regular"/>
          <w:sz w:val="22"/>
          <w:szCs w:val="22"/>
          <w:highlight w:val="green"/>
        </w:rPr>
        <w:t>H</w:t>
      </w:r>
      <w:r w:rsidRPr="00887CF2">
        <w:rPr>
          <w:rFonts w:ascii="ShangralaW90-Regular" w:hAnsi="ShangralaW90-Regular"/>
          <w:sz w:val="22"/>
          <w:szCs w:val="22"/>
          <w:highlight w:val="green"/>
          <w:vertAlign w:val="subscript"/>
        </w:rPr>
        <w:t>0</w:t>
      </w:r>
      <w:r w:rsidRPr="00887CF2">
        <w:rPr>
          <w:rFonts w:ascii="ShangralaW90-Regular" w:hAnsi="ShangralaW90-Regular"/>
          <w:sz w:val="22"/>
          <w:szCs w:val="22"/>
          <w:highlight w:val="green"/>
        </w:rPr>
        <w:t>,</w:t>
      </w:r>
      <w:r w:rsidRPr="009E50CA">
        <w:rPr>
          <w:rFonts w:ascii="ShangralaW90-Regular" w:hAnsi="ShangralaW90-Regular"/>
          <w:sz w:val="22"/>
          <w:szCs w:val="22"/>
        </w:rPr>
        <w:t xml:space="preserve"> that is Malaysia's non-manufacturing FDI </w:t>
      </w:r>
      <w:r w:rsidR="00887CF2" w:rsidRPr="00887CF2">
        <w:rPr>
          <w:rFonts w:ascii="ShangralaW90-Regular" w:hAnsi="ShangralaW90-Regular"/>
          <w:sz w:val="22"/>
          <w:szCs w:val="22"/>
          <w:highlight w:val="green"/>
        </w:rPr>
        <w:t>is</w:t>
      </w:r>
      <w:r w:rsidRPr="009E50CA">
        <w:rPr>
          <w:rFonts w:ascii="ShangralaW90-Regular" w:hAnsi="ShangralaW90-Regular"/>
          <w:sz w:val="22"/>
          <w:szCs w:val="22"/>
        </w:rPr>
        <w:t xml:space="preserve"> not significantly different from the non-manufacturing FDI of other countries (Hypothesis 3). </w:t>
      </w:r>
      <w:r w:rsidRPr="009E50CA">
        <w:rPr>
          <w:rFonts w:ascii="ShangralaW90-Regular" w:hAnsi="ShangralaW90-Regular"/>
          <w:bCs/>
          <w:sz w:val="22"/>
          <w:szCs w:val="22"/>
        </w:rPr>
        <w:t xml:space="preserve">The mean difference </w:t>
      </w:r>
      <w:r w:rsidR="00887CF2" w:rsidRPr="00887CF2">
        <w:rPr>
          <w:rFonts w:ascii="ShangralaW90-Regular" w:hAnsi="ShangralaW90-Regular"/>
          <w:bCs/>
          <w:sz w:val="22"/>
          <w:szCs w:val="22"/>
          <w:highlight w:val="green"/>
        </w:rPr>
        <w:t>is</w:t>
      </w:r>
      <w:r w:rsidRPr="009E50CA">
        <w:rPr>
          <w:rFonts w:ascii="ShangralaW90-Regular" w:hAnsi="ShangralaW90-Regular"/>
          <w:bCs/>
          <w:sz w:val="22"/>
          <w:szCs w:val="22"/>
        </w:rPr>
        <w:t xml:space="preserve"> positive for East Asian Countries and the U</w:t>
      </w:r>
      <w:r w:rsidR="00B31035">
        <w:rPr>
          <w:rFonts w:ascii="ShangralaW90-Regular" w:hAnsi="ShangralaW90-Regular"/>
          <w:bCs/>
          <w:sz w:val="22"/>
          <w:szCs w:val="22"/>
        </w:rPr>
        <w:t>S</w:t>
      </w:r>
      <w:r w:rsidRPr="009E50CA">
        <w:rPr>
          <w:rFonts w:ascii="ShangralaW90-Regular" w:hAnsi="ShangralaW90-Regular"/>
          <w:bCs/>
          <w:sz w:val="22"/>
          <w:szCs w:val="22"/>
        </w:rPr>
        <w:t>, meaning the mean of Malaysia's non-manufacturing investment was greater than the means of non-manufacturing investment from East Asian countries and the U</w:t>
      </w:r>
      <w:r w:rsidR="00B31035">
        <w:rPr>
          <w:rFonts w:ascii="ShangralaW90-Regular" w:hAnsi="ShangralaW90-Regular"/>
          <w:bCs/>
          <w:sz w:val="22"/>
          <w:szCs w:val="22"/>
        </w:rPr>
        <w:t>S</w:t>
      </w:r>
      <w:r w:rsidRPr="009E50CA">
        <w:rPr>
          <w:rFonts w:ascii="ShangralaW90-Regular" w:hAnsi="ShangralaW90-Regular"/>
          <w:bCs/>
          <w:sz w:val="22"/>
          <w:szCs w:val="22"/>
        </w:rPr>
        <w:t xml:space="preserve">. </w:t>
      </w:r>
    </w:p>
    <w:p w14:paraId="19633F3B" w14:textId="77777777" w:rsidR="000F1C1F" w:rsidRPr="00566002" w:rsidRDefault="003461B6" w:rsidP="00566002">
      <w:pPr>
        <w:spacing w:line="276" w:lineRule="auto"/>
        <w:ind w:firstLine="540"/>
        <w:jc w:val="both"/>
        <w:rPr>
          <w:rFonts w:ascii="ShangralaW90-Regular" w:hAnsi="ShangralaW90-Regular"/>
          <w:bCs/>
          <w:sz w:val="22"/>
          <w:szCs w:val="22"/>
        </w:rPr>
      </w:pPr>
      <w:r w:rsidRPr="00566002">
        <w:rPr>
          <w:rFonts w:ascii="ShangralaW90-Regular" w:hAnsi="ShangralaW90-Regular"/>
          <w:bCs/>
          <w:sz w:val="22"/>
          <w:szCs w:val="22"/>
          <w:highlight w:val="green"/>
        </w:rPr>
        <w:t>The Singaporean and Malaysian case implies that the extent of dependence determines investment volume. Singapore itself depend</w:t>
      </w:r>
      <w:r w:rsidR="00654FA3">
        <w:rPr>
          <w:rFonts w:ascii="ShangralaW90-Regular" w:hAnsi="ShangralaW90-Regular"/>
          <w:bCs/>
          <w:sz w:val="22"/>
          <w:szCs w:val="22"/>
          <w:highlight w:val="green"/>
        </w:rPr>
        <w:t>s</w:t>
      </w:r>
      <w:r w:rsidRPr="00566002">
        <w:rPr>
          <w:rFonts w:ascii="ShangralaW90-Regular" w:hAnsi="ShangralaW90-Regular"/>
          <w:bCs/>
          <w:sz w:val="22"/>
          <w:szCs w:val="22"/>
          <w:highlight w:val="green"/>
        </w:rPr>
        <w:t xml:space="preserve"> heavily on its extended metropolitan regions due to land scarcity (Kakazu, 1999; Macleod &amp; McGee 1996) while Malaysia does not depend much on the land of the Riau Islands because Malaysia still has potential areas to be developed like Iskandar City in Johor (Iskandar Regional Development Authority, n.d.). The strategic position of Iskandar City enables the city to maximize the economic potential of Singapore where both regions are connected by a causeway (Rizzo &amp; Glasson, 2012). In addition, Singapore has a competitive advantage in two major sectors yet specializes in the manufacturing sector while Malaysia only has a competitive advantage and specializes in the non-manufacturing sector.</w:t>
      </w:r>
    </w:p>
    <w:p w14:paraId="0F7D6B71" w14:textId="77777777" w:rsidR="00412070" w:rsidRPr="009E50CA" w:rsidRDefault="00412070" w:rsidP="00412070">
      <w:pPr>
        <w:spacing w:line="276" w:lineRule="auto"/>
        <w:jc w:val="both"/>
        <w:rPr>
          <w:rFonts w:ascii="ShangralaW90-Regular" w:hAnsi="ShangralaW90-Regular"/>
          <w:sz w:val="22"/>
          <w:szCs w:val="22"/>
        </w:rPr>
      </w:pPr>
    </w:p>
    <w:p w14:paraId="598F7995" w14:textId="77777777" w:rsidR="000F1C1F" w:rsidRDefault="003461B6" w:rsidP="000F1C1F">
      <w:pPr>
        <w:pStyle w:val="Body"/>
        <w:spacing w:after="120"/>
        <w:jc w:val="both"/>
        <w:rPr>
          <w:rFonts w:ascii="Lato" w:eastAsia="Cambria" w:hAnsi="Lato" w:cs="Cambria"/>
          <w:b/>
          <w:color w:val="1F4E79" w:themeColor="accent5" w:themeShade="80"/>
          <w:sz w:val="24"/>
          <w:szCs w:val="24"/>
          <w:u w:color="FF0000"/>
        </w:rPr>
      </w:pPr>
      <w:r w:rsidRPr="000F1C1F">
        <w:rPr>
          <w:rFonts w:ascii="Lato" w:eastAsia="Cambria" w:hAnsi="Lato" w:cs="Cambria"/>
          <w:b/>
          <w:color w:val="1F4E79" w:themeColor="accent5" w:themeShade="80"/>
          <w:sz w:val="24"/>
          <w:szCs w:val="24"/>
          <w:u w:color="FF0000"/>
        </w:rPr>
        <w:t xml:space="preserve">Singapore’s and Malaysia’s Sectoral FDIs in Riau Islands </w:t>
      </w:r>
    </w:p>
    <w:p w14:paraId="7038376C" w14:textId="77777777" w:rsidR="000F1C1F" w:rsidRPr="000F1C1F" w:rsidRDefault="003461B6" w:rsidP="000F1C1F">
      <w:pPr>
        <w:pStyle w:val="Body"/>
        <w:spacing w:after="120"/>
        <w:jc w:val="both"/>
        <w:rPr>
          <w:rFonts w:ascii="Lato" w:eastAsia="Cambria" w:hAnsi="Lato" w:cs="Cambria"/>
          <w:b/>
          <w:i/>
          <w:color w:val="1F4E79" w:themeColor="accent5" w:themeShade="80"/>
          <w:sz w:val="24"/>
          <w:szCs w:val="24"/>
          <w:u w:color="FF0000"/>
        </w:rPr>
      </w:pPr>
      <w:r>
        <w:rPr>
          <w:rFonts w:ascii="Lato" w:eastAsia="Cambria" w:hAnsi="Lato" w:cs="Cambria"/>
          <w:b/>
          <w:i/>
          <w:color w:val="1F4E79" w:themeColor="accent5" w:themeShade="80"/>
          <w:sz w:val="24"/>
          <w:szCs w:val="24"/>
          <w:u w:color="FF0000"/>
        </w:rPr>
        <w:t xml:space="preserve">Singapore’s Sectoral </w:t>
      </w:r>
      <w:r w:rsidRPr="00C85855">
        <w:rPr>
          <w:rFonts w:ascii="Lato" w:eastAsia="Cambria" w:hAnsi="Lato" w:cs="Cambria"/>
          <w:b/>
          <w:i/>
          <w:color w:val="1F4E79" w:themeColor="accent5" w:themeShade="80"/>
          <w:sz w:val="24"/>
          <w:szCs w:val="24"/>
          <w:highlight w:val="green"/>
          <w:u w:color="FF0000"/>
        </w:rPr>
        <w:t>FDIs</w:t>
      </w:r>
    </w:p>
    <w:p w14:paraId="37B31276" w14:textId="77777777" w:rsidR="000F1C1F" w:rsidRDefault="003461B6" w:rsidP="00872794">
      <w:pPr>
        <w:pStyle w:val="Body"/>
        <w:ind w:firstLine="540"/>
        <w:contextualSpacing/>
        <w:jc w:val="both"/>
        <w:rPr>
          <w:rFonts w:ascii="ShangralaW90-Regular" w:eastAsia="Cambria" w:hAnsi="ShangralaW90-Regular" w:cs="Cambria"/>
          <w:u w:color="FF0000"/>
        </w:rPr>
      </w:pPr>
      <w:r w:rsidRPr="000F1C1F">
        <w:rPr>
          <w:rFonts w:ascii="ShangralaW90-Regular" w:eastAsia="Cambria" w:hAnsi="ShangralaW90-Regular" w:cs="Cambria"/>
          <w:u w:color="FF0000"/>
        </w:rPr>
        <w:t>Data from Indonesia’s Ministry of Investment demonstrated that Singapore did not invest much in Riau Islands at the beginning of the subregional cooperation. In 1990 and 1991, Singapore did not invest in the manufacturing sector in Riau Islands. Moreover, Singapore did not invest in the non-manufacturing sector in Riau Island in 1990, 1992, 1993. Singapore's FDI in the non-manufacturing sector was initially USD 759 thousand in 1991.</w:t>
      </w:r>
    </w:p>
    <w:p w14:paraId="6BD805D1" w14:textId="77777777" w:rsidR="00F41589" w:rsidRDefault="003461B6" w:rsidP="00F41589">
      <w:pPr>
        <w:pStyle w:val="Body"/>
        <w:ind w:firstLine="540"/>
        <w:contextualSpacing/>
        <w:jc w:val="both"/>
        <w:rPr>
          <w:rFonts w:ascii="ShangralaW90-Regular" w:eastAsia="Cambria" w:hAnsi="ShangralaW90-Regular" w:cs="Cambria"/>
          <w:u w:color="FF0000"/>
        </w:rPr>
      </w:pPr>
      <w:r w:rsidRPr="000F1C1F">
        <w:rPr>
          <w:rFonts w:ascii="ShangralaW90-Regular" w:eastAsia="Cambria" w:hAnsi="ShangralaW90-Regular" w:cs="Cambria"/>
          <w:u w:color="FF0000"/>
        </w:rPr>
        <w:t xml:space="preserve">Singapore's FDI in the manufacturing sector in Riau Islands began to increase in 1993 while Singapore's FDI in the non-manufacturing sector began to increase in 1994. Singapore's FDI in Riau </w:t>
      </w:r>
      <w:r w:rsidRPr="000F1C1F">
        <w:rPr>
          <w:rFonts w:ascii="ShangralaW90-Regular" w:eastAsia="Cambria" w:hAnsi="ShangralaW90-Regular" w:cs="Cambria"/>
          <w:u w:color="FF0000"/>
        </w:rPr>
        <w:lastRenderedPageBreak/>
        <w:t>Islands was dominated by the non-manufacturing sector till 2001. Domination of Singapore's FDI in the non-manufacturing sector was continued from 2011 to 2017 with a decline in 2013 and 2016. After 2017, Singapore invested more in the manufacturing sector. In 2020, for instance, Singapore's manufacturing FDI was USD 1.09 billion, the highest since the establishment of Sijori-GT (Figure 4).</w:t>
      </w:r>
    </w:p>
    <w:p w14:paraId="596411AB" w14:textId="77777777" w:rsidR="00F41589" w:rsidRPr="00F41589" w:rsidRDefault="003461B6" w:rsidP="00F41589">
      <w:pPr>
        <w:pStyle w:val="Body"/>
        <w:ind w:firstLine="540"/>
        <w:contextualSpacing/>
        <w:jc w:val="both"/>
        <w:rPr>
          <w:rFonts w:ascii="ShangralaW90-Regular" w:eastAsia="Cambria" w:hAnsi="ShangralaW90-Regular" w:cs="Cambria"/>
          <w:u w:color="FF0000"/>
        </w:rPr>
      </w:pPr>
      <w:r>
        <w:rPr>
          <w:noProof/>
        </w:rPr>
        <w:drawing>
          <wp:anchor distT="0" distB="0" distL="114300" distR="114300" simplePos="0" relativeHeight="251658240" behindDoc="1" locked="0" layoutInCell="1" allowOverlap="1" wp14:anchorId="699A9BA9" wp14:editId="6B529F4C">
            <wp:simplePos x="0" y="0"/>
            <wp:positionH relativeFrom="column">
              <wp:posOffset>274683</wp:posOffset>
            </wp:positionH>
            <wp:positionV relativeFrom="paragraph">
              <wp:posOffset>291737</wp:posOffset>
            </wp:positionV>
            <wp:extent cx="4815840" cy="276479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815840" cy="276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6B8F1" w14:textId="77777777" w:rsidR="000F1C1F" w:rsidRPr="00AF775F" w:rsidRDefault="003461B6" w:rsidP="000F1C1F">
      <w:pPr>
        <w:spacing w:line="276" w:lineRule="auto"/>
        <w:jc w:val="center"/>
        <w:rPr>
          <w:rFonts w:ascii="ShangralaW90-Regular" w:hAnsi="ShangralaW90-Regular"/>
          <w:sz w:val="22"/>
          <w:szCs w:val="22"/>
        </w:rPr>
      </w:pPr>
      <w:r w:rsidRPr="00AF775F">
        <w:rPr>
          <w:rFonts w:ascii="ShangralaW90-Regular" w:hAnsi="ShangralaW90-Regular"/>
          <w:i/>
          <w:sz w:val="22"/>
          <w:szCs w:val="22"/>
        </w:rPr>
        <w:t>Figure 4</w:t>
      </w:r>
      <w:r w:rsidRPr="00AF775F">
        <w:rPr>
          <w:rFonts w:ascii="ShangralaW90-Regular" w:hAnsi="ShangralaW90-Regular"/>
          <w:sz w:val="22"/>
          <w:szCs w:val="22"/>
        </w:rPr>
        <w:t>. Singapore’s Sectoral FDIs in Riau Islands</w:t>
      </w:r>
    </w:p>
    <w:p w14:paraId="6FF1DE00" w14:textId="77777777" w:rsidR="000F1C1F" w:rsidRDefault="003461B6" w:rsidP="000F1C1F">
      <w:pPr>
        <w:spacing w:line="276" w:lineRule="auto"/>
        <w:jc w:val="center"/>
        <w:rPr>
          <w:rFonts w:ascii="ShangralaW90-Regular" w:hAnsi="ShangralaW90-Regular"/>
          <w:sz w:val="22"/>
          <w:szCs w:val="22"/>
        </w:rPr>
      </w:pPr>
      <w:r w:rsidRPr="000F1C1F">
        <w:rPr>
          <w:rFonts w:ascii="ShangralaW90-Regular" w:hAnsi="ShangralaW90-Regular"/>
          <w:sz w:val="22"/>
          <w:szCs w:val="22"/>
        </w:rPr>
        <w:t>(</w:t>
      </w:r>
      <w:r w:rsidR="00AF775F">
        <w:rPr>
          <w:rFonts w:ascii="ShangralaW90-Regular" w:hAnsi="ShangralaW90-Regular"/>
          <w:sz w:val="22"/>
          <w:szCs w:val="22"/>
        </w:rPr>
        <w:t xml:space="preserve">Source: </w:t>
      </w:r>
      <w:r w:rsidRPr="00BD27DA">
        <w:rPr>
          <w:rFonts w:ascii="ShangralaW90-Regular" w:hAnsi="ShangralaW90-Regular"/>
          <w:sz w:val="22"/>
          <w:szCs w:val="22"/>
          <w:highlight w:val="green"/>
        </w:rPr>
        <w:t>Author</w:t>
      </w:r>
      <w:r w:rsidR="00AF775F" w:rsidRPr="00BD27DA">
        <w:rPr>
          <w:rFonts w:ascii="ShangralaW90-Regular" w:hAnsi="ShangralaW90-Regular"/>
          <w:sz w:val="22"/>
          <w:szCs w:val="22"/>
          <w:highlight w:val="green"/>
        </w:rPr>
        <w:t>s</w:t>
      </w:r>
      <w:r w:rsidR="00BD27DA" w:rsidRPr="00BD27DA">
        <w:rPr>
          <w:rFonts w:ascii="ShangralaW90-Regular" w:hAnsi="ShangralaW90-Regular"/>
          <w:sz w:val="22"/>
          <w:szCs w:val="22"/>
          <w:highlight w:val="green"/>
        </w:rPr>
        <w:t>’</w:t>
      </w:r>
      <w:r w:rsidR="00AF775F">
        <w:rPr>
          <w:rFonts w:ascii="ShangralaW90-Regular" w:hAnsi="ShangralaW90-Regular"/>
          <w:sz w:val="22"/>
          <w:szCs w:val="22"/>
        </w:rPr>
        <w:t xml:space="preserve"> compilation</w:t>
      </w:r>
      <w:r w:rsidRPr="000F1C1F">
        <w:rPr>
          <w:rFonts w:ascii="ShangralaW90-Regular" w:hAnsi="ShangralaW90-Regular"/>
          <w:sz w:val="22"/>
          <w:szCs w:val="22"/>
        </w:rPr>
        <w:t xml:space="preserve"> based on data from </w:t>
      </w:r>
      <w:r w:rsidRPr="000F1C1F">
        <w:rPr>
          <w:rFonts w:ascii="ShangralaW90-Regular" w:hAnsi="ShangralaW90-Regular"/>
          <w:sz w:val="22"/>
          <w:szCs w:val="22"/>
        </w:rPr>
        <w:fldChar w:fldCharType="begin" w:fldLock="1"/>
      </w:r>
      <w:r w:rsidRPr="000F1C1F">
        <w:rPr>
          <w:rFonts w:ascii="ShangralaW90-Regular" w:hAnsi="ShangralaW90-Regular"/>
          <w:sz w:val="22"/>
          <w:szCs w:val="22"/>
        </w:rPr>
        <w:instrText>ADDIN CSL_CITATION {"citationItems":[{"id":"ITEM-1","itemData":{"URL":"https://nswi.bkpm.go.id/data_statistik","author":[{"dropping-particle":"","family":"NSWiMinistryofInvestment","given":"","non-dropping-particle":"","parse-names":false,"suffix":""}],"id":"ITEM-1","issued":{"date-parts":[["0"]]},"title":"Perkembangan Investasi 1990-2020","type":"webpage"},"uris":["http://www.mendeley.com/documents/?uuid=d4883eed-530c-4217-8fda-d3e334488561"]}],"mendeley":{"formattedCitation":"(NSWiMinistryofInvestment, n.d.)","manualFormatting":"NSWi Ministry of Investment (n.d.)","plainTextFormattedCitation":"(NSWiMinistryofInvestment, n.d.)","previouslyFormattedCitation":"(NSWiMinistryofInvestment, n.d.)"},"properties":{"noteIndex":0},"schema":"https://github.com/citation-style-language/schema/raw/master/csl-citation.json"}</w:instrText>
      </w:r>
      <w:r w:rsidRPr="000F1C1F">
        <w:rPr>
          <w:rFonts w:ascii="ShangralaW90-Regular" w:hAnsi="ShangralaW90-Regular"/>
          <w:sz w:val="22"/>
          <w:szCs w:val="22"/>
        </w:rPr>
        <w:fldChar w:fldCharType="separate"/>
      </w:r>
      <w:r w:rsidRPr="000F1C1F">
        <w:rPr>
          <w:rFonts w:ascii="ShangralaW90-Regular" w:hAnsi="ShangralaW90-Regular"/>
          <w:noProof/>
          <w:sz w:val="22"/>
          <w:szCs w:val="22"/>
        </w:rPr>
        <w:t>NSWi Ministry of Investment (n.d.)</w:t>
      </w:r>
      <w:r w:rsidRPr="000F1C1F">
        <w:rPr>
          <w:rFonts w:ascii="ShangralaW90-Regular" w:hAnsi="ShangralaW90-Regular"/>
          <w:sz w:val="22"/>
          <w:szCs w:val="22"/>
        </w:rPr>
        <w:fldChar w:fldCharType="end"/>
      </w:r>
      <w:r w:rsidRPr="000F1C1F">
        <w:rPr>
          <w:rFonts w:ascii="ShangralaW90-Regular" w:hAnsi="ShangralaW90-Regular"/>
          <w:sz w:val="22"/>
          <w:szCs w:val="22"/>
        </w:rPr>
        <w:t>)</w:t>
      </w:r>
    </w:p>
    <w:p w14:paraId="2CDE87EF" w14:textId="77777777" w:rsidR="000F1C1F" w:rsidRDefault="000F1C1F" w:rsidP="000F1C1F">
      <w:pPr>
        <w:spacing w:line="276" w:lineRule="auto"/>
        <w:jc w:val="center"/>
        <w:rPr>
          <w:rFonts w:ascii="ShangralaW90-Regular" w:hAnsi="ShangralaW90-Regular"/>
          <w:sz w:val="22"/>
          <w:szCs w:val="22"/>
        </w:rPr>
      </w:pPr>
    </w:p>
    <w:p w14:paraId="36B0F7F7" w14:textId="3CD7D71E" w:rsidR="00412070" w:rsidRPr="001E3529" w:rsidRDefault="003461B6" w:rsidP="001E3529">
      <w:pPr>
        <w:spacing w:after="240" w:line="276" w:lineRule="auto"/>
        <w:ind w:firstLine="540"/>
        <w:jc w:val="both"/>
        <w:rPr>
          <w:rFonts w:ascii="ShangralaW90-Regular" w:hAnsi="ShangralaW90-Regular"/>
          <w:sz w:val="22"/>
          <w:szCs w:val="22"/>
        </w:rPr>
      </w:pPr>
      <w:r w:rsidRPr="000F1C1F">
        <w:rPr>
          <w:rFonts w:ascii="ShangralaW90-Regular" w:hAnsi="ShangralaW90-Regular"/>
          <w:sz w:val="22"/>
          <w:szCs w:val="22"/>
        </w:rPr>
        <w:t>The independent sample t-test was conducted to compare Singapore's sectoral FDIs in Riau Islands. The computed F value of manufacturing and non-manufacturing FDI in the Riau Islands under the assumption of equal variances (</w:t>
      </w:r>
      <w:r w:rsidRPr="00D1070E">
        <w:rPr>
          <w:rFonts w:ascii="ShangralaW90-Regular" w:hAnsi="ShangralaW90-Regular"/>
          <w:sz w:val="22"/>
          <w:szCs w:val="22"/>
          <w:highlight w:val="green"/>
        </w:rPr>
        <w:t>L</w:t>
      </w:r>
      <w:r w:rsidR="00D1070E" w:rsidRPr="00D1070E">
        <w:rPr>
          <w:rFonts w:ascii="ShangralaW90-Regular" w:hAnsi="ShangralaW90-Regular"/>
          <w:sz w:val="22"/>
          <w:szCs w:val="22"/>
          <w:highlight w:val="green"/>
        </w:rPr>
        <w:t>e</w:t>
      </w:r>
      <w:r w:rsidRPr="00D1070E">
        <w:rPr>
          <w:rFonts w:ascii="ShangralaW90-Regular" w:hAnsi="ShangralaW90-Regular"/>
          <w:sz w:val="22"/>
          <w:szCs w:val="22"/>
          <w:highlight w:val="green"/>
        </w:rPr>
        <w:t>vene’s test</w:t>
      </w:r>
      <w:r w:rsidRPr="000F1C1F">
        <w:rPr>
          <w:rFonts w:ascii="ShangralaW90-Regular" w:hAnsi="ShangralaW90-Regular"/>
          <w:sz w:val="22"/>
          <w:szCs w:val="22"/>
        </w:rPr>
        <w:t xml:space="preserve">) </w:t>
      </w:r>
      <w:r w:rsidR="00E80F77" w:rsidRPr="00E80F77">
        <w:rPr>
          <w:rFonts w:ascii="ShangralaW90-Regular" w:hAnsi="ShangralaW90-Regular"/>
          <w:sz w:val="22"/>
          <w:szCs w:val="22"/>
          <w:highlight w:val="green"/>
        </w:rPr>
        <w:t>is</w:t>
      </w:r>
      <w:r w:rsidRPr="000F1C1F">
        <w:rPr>
          <w:rFonts w:ascii="ShangralaW90-Regular" w:hAnsi="ShangralaW90-Regular"/>
          <w:sz w:val="22"/>
          <w:szCs w:val="22"/>
        </w:rPr>
        <w:t xml:space="preserve"> 1.209 and the p-value </w:t>
      </w:r>
      <w:r w:rsidR="00E80F77" w:rsidRPr="00E80F77">
        <w:rPr>
          <w:rFonts w:ascii="ShangralaW90-Regular" w:hAnsi="ShangralaW90-Regular"/>
          <w:sz w:val="22"/>
          <w:szCs w:val="22"/>
          <w:highlight w:val="green"/>
        </w:rPr>
        <w:t>is</w:t>
      </w:r>
      <w:r w:rsidRPr="000F1C1F">
        <w:rPr>
          <w:rFonts w:ascii="ShangralaW90-Regular" w:hAnsi="ShangralaW90-Regular"/>
          <w:sz w:val="22"/>
          <w:szCs w:val="22"/>
        </w:rPr>
        <w:t xml:space="preserve"> 0.276, </w:t>
      </w:r>
      <w:r w:rsidR="00E80F77" w:rsidRPr="00E80F77">
        <w:rPr>
          <w:rFonts w:ascii="ShangralaW90-Regular" w:hAnsi="ShangralaW90-Regular"/>
          <w:sz w:val="22"/>
          <w:szCs w:val="22"/>
          <w:highlight w:val="green"/>
        </w:rPr>
        <w:t>which is</w:t>
      </w:r>
      <w:r w:rsidRPr="000F1C1F">
        <w:rPr>
          <w:rFonts w:ascii="ShangralaW90-Regular" w:hAnsi="ShangralaW90-Regular"/>
          <w:sz w:val="22"/>
          <w:szCs w:val="22"/>
        </w:rPr>
        <w:t xml:space="preserve"> greater than the 0.05 significance level. It means that the variances of Singapore’s manufacturing and non-manufacturing FDI </w:t>
      </w:r>
      <w:r w:rsidR="00E80F77" w:rsidRPr="00E80F77">
        <w:rPr>
          <w:rFonts w:ascii="ShangralaW90-Regular" w:hAnsi="ShangralaW90-Regular"/>
          <w:sz w:val="22"/>
          <w:szCs w:val="22"/>
          <w:highlight w:val="green"/>
        </w:rPr>
        <w:t>are</w:t>
      </w:r>
      <w:r w:rsidRPr="000F1C1F">
        <w:rPr>
          <w:rFonts w:ascii="ShangralaW90-Regular" w:hAnsi="ShangralaW90-Regular"/>
          <w:sz w:val="22"/>
          <w:szCs w:val="22"/>
        </w:rPr>
        <w:t xml:space="preserve"> not significantly different. </w:t>
      </w:r>
    </w:p>
    <w:p w14:paraId="3E259220" w14:textId="77777777" w:rsidR="000F1C1F" w:rsidRPr="00AF775F" w:rsidRDefault="003461B6" w:rsidP="000F1C1F">
      <w:pPr>
        <w:spacing w:after="120" w:line="276" w:lineRule="auto"/>
        <w:jc w:val="center"/>
        <w:rPr>
          <w:rFonts w:ascii="ShangralaW90-Regular" w:hAnsi="ShangralaW90-Regular"/>
          <w:bCs/>
          <w:i/>
          <w:sz w:val="22"/>
          <w:szCs w:val="22"/>
        </w:rPr>
      </w:pPr>
      <w:r w:rsidRPr="00AF775F">
        <w:rPr>
          <w:rFonts w:ascii="ShangralaW90-Regular" w:hAnsi="ShangralaW90-Regular"/>
          <w:bCs/>
          <w:sz w:val="22"/>
          <w:szCs w:val="22"/>
          <w:lang w:val="id-ID"/>
        </w:rPr>
        <w:t xml:space="preserve">Table </w:t>
      </w:r>
      <w:r w:rsidRPr="00AF775F">
        <w:rPr>
          <w:rFonts w:ascii="ShangralaW90-Regular" w:hAnsi="ShangralaW90-Regular"/>
          <w:bCs/>
          <w:sz w:val="22"/>
          <w:szCs w:val="22"/>
        </w:rPr>
        <w:t xml:space="preserve">4. </w:t>
      </w:r>
      <w:r w:rsidRPr="00AF775F">
        <w:rPr>
          <w:rFonts w:ascii="ShangralaW90-Regular" w:hAnsi="ShangralaW90-Regular"/>
          <w:i/>
          <w:sz w:val="22"/>
          <w:szCs w:val="22"/>
          <w:lang w:val="id-ID"/>
        </w:rPr>
        <w:t>The output of the Independent</w:t>
      </w:r>
      <w:r w:rsidRPr="00AF775F">
        <w:rPr>
          <w:rFonts w:ascii="ShangralaW90-Regular" w:hAnsi="ShangralaW90-Regular"/>
          <w:i/>
          <w:sz w:val="22"/>
          <w:szCs w:val="22"/>
        </w:rPr>
        <w:t xml:space="preserve"> Sample </w:t>
      </w:r>
      <w:r w:rsidRPr="00AF775F">
        <w:rPr>
          <w:rFonts w:ascii="ShangralaW90-Regular" w:hAnsi="ShangralaW90-Regular"/>
          <w:i/>
          <w:sz w:val="22"/>
          <w:szCs w:val="22"/>
          <w:lang w:val="id-ID"/>
        </w:rPr>
        <w:t xml:space="preserve"> t-Test  for Mean Comparison of Singapore’s Sectoral FDI</w:t>
      </w:r>
      <w:r w:rsidRPr="00AF775F">
        <w:rPr>
          <w:rFonts w:ascii="ShangralaW90-Regular" w:hAnsi="ShangralaW90-Regular"/>
          <w:i/>
          <w:sz w:val="22"/>
          <w:szCs w:val="22"/>
        </w:rPr>
        <w:t>s</w:t>
      </w:r>
      <w:r w:rsidRPr="00AF775F">
        <w:rPr>
          <w:rFonts w:ascii="ShangralaW90-Regular" w:hAnsi="ShangralaW90-Regular"/>
          <w:i/>
          <w:sz w:val="22"/>
          <w:szCs w:val="22"/>
          <w:lang w:val="id-ID"/>
        </w:rPr>
        <w:t xml:space="preserve"> in the Riau Islands</w:t>
      </w:r>
    </w:p>
    <w:tbl>
      <w:tblPr>
        <w:tblStyle w:val="TableGrid"/>
        <w:tblW w:w="8821" w:type="dxa"/>
        <w:jc w:val="center"/>
        <w:tblLook w:val="04A0" w:firstRow="1" w:lastRow="0" w:firstColumn="1" w:lastColumn="0" w:noHBand="0" w:noVBand="1"/>
      </w:tblPr>
      <w:tblGrid>
        <w:gridCol w:w="1449"/>
        <w:gridCol w:w="1849"/>
        <w:gridCol w:w="823"/>
        <w:gridCol w:w="792"/>
        <w:gridCol w:w="654"/>
        <w:gridCol w:w="862"/>
        <w:gridCol w:w="1415"/>
        <w:gridCol w:w="977"/>
      </w:tblGrid>
      <w:tr w:rsidR="00A34600" w:rsidRPr="00412070" w14:paraId="4EA04229" w14:textId="77777777" w:rsidTr="007C4EF2">
        <w:trPr>
          <w:trHeight w:val="250"/>
          <w:jc w:val="center"/>
        </w:trPr>
        <w:tc>
          <w:tcPr>
            <w:tcW w:w="3315" w:type="dxa"/>
            <w:gridSpan w:val="2"/>
            <w:vMerge w:val="restart"/>
            <w:tcBorders>
              <w:right w:val="nil"/>
            </w:tcBorders>
            <w:vAlign w:val="center"/>
          </w:tcPr>
          <w:p w14:paraId="4263B5D5"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Parameter</w:t>
            </w:r>
          </w:p>
        </w:tc>
        <w:tc>
          <w:tcPr>
            <w:tcW w:w="1622" w:type="dxa"/>
            <w:gridSpan w:val="2"/>
            <w:tcBorders>
              <w:left w:val="nil"/>
              <w:right w:val="nil"/>
            </w:tcBorders>
            <w:vAlign w:val="center"/>
          </w:tcPr>
          <w:p w14:paraId="06438EEA" w14:textId="77777777" w:rsidR="000F1C1F" w:rsidRPr="00412070" w:rsidRDefault="003461B6" w:rsidP="00412070">
            <w:pPr>
              <w:jc w:val="center"/>
              <w:rPr>
                <w:rFonts w:ascii="ShangralaW90-Regular" w:hAnsi="ShangralaW90-Regular"/>
                <w:sz w:val="20"/>
                <w:szCs w:val="20"/>
                <w:highlight w:val="green"/>
                <w:lang w:val="id-ID"/>
              </w:rPr>
            </w:pPr>
            <w:r w:rsidRPr="00412070">
              <w:rPr>
                <w:rFonts w:ascii="ShangralaW90-Regular" w:hAnsi="ShangralaW90-Regular"/>
                <w:sz w:val="20"/>
                <w:szCs w:val="20"/>
                <w:highlight w:val="green"/>
                <w:lang w:val="id-ID"/>
              </w:rPr>
              <w:t>L</w:t>
            </w:r>
            <w:r w:rsidR="006C19F2" w:rsidRPr="00412070">
              <w:rPr>
                <w:rFonts w:ascii="ShangralaW90-Regular" w:hAnsi="ShangralaW90-Regular"/>
                <w:sz w:val="20"/>
                <w:szCs w:val="20"/>
                <w:highlight w:val="green"/>
                <w:lang w:val="en-US"/>
              </w:rPr>
              <w:t>e</w:t>
            </w:r>
            <w:r w:rsidRPr="00412070">
              <w:rPr>
                <w:rFonts w:ascii="ShangralaW90-Regular" w:hAnsi="ShangralaW90-Regular"/>
                <w:sz w:val="20"/>
                <w:szCs w:val="20"/>
                <w:highlight w:val="green"/>
                <w:lang w:val="id-ID"/>
              </w:rPr>
              <w:t>vene’s test</w:t>
            </w:r>
          </w:p>
        </w:tc>
        <w:tc>
          <w:tcPr>
            <w:tcW w:w="3884" w:type="dxa"/>
            <w:gridSpan w:val="4"/>
            <w:tcBorders>
              <w:left w:val="nil"/>
            </w:tcBorders>
            <w:vAlign w:val="center"/>
          </w:tcPr>
          <w:p w14:paraId="68CE5503"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The t-test for equality means</w:t>
            </w:r>
          </w:p>
        </w:tc>
      </w:tr>
      <w:tr w:rsidR="00A34600" w:rsidRPr="00412070" w14:paraId="33BC60B2" w14:textId="77777777" w:rsidTr="007C4EF2">
        <w:trPr>
          <w:trHeight w:val="489"/>
          <w:jc w:val="center"/>
        </w:trPr>
        <w:tc>
          <w:tcPr>
            <w:tcW w:w="3315" w:type="dxa"/>
            <w:gridSpan w:val="2"/>
            <w:vMerge/>
            <w:tcBorders>
              <w:bottom w:val="single" w:sz="4" w:space="0" w:color="auto"/>
              <w:right w:val="nil"/>
            </w:tcBorders>
            <w:vAlign w:val="center"/>
          </w:tcPr>
          <w:p w14:paraId="7516F236" w14:textId="77777777" w:rsidR="000F1C1F" w:rsidRPr="00412070" w:rsidRDefault="000F1C1F" w:rsidP="00412070">
            <w:pPr>
              <w:jc w:val="center"/>
              <w:rPr>
                <w:rFonts w:ascii="ShangralaW90-Regular" w:hAnsi="ShangralaW90-Regular"/>
                <w:sz w:val="20"/>
                <w:szCs w:val="20"/>
                <w:lang w:val="id-ID"/>
              </w:rPr>
            </w:pPr>
          </w:p>
        </w:tc>
        <w:tc>
          <w:tcPr>
            <w:tcW w:w="826" w:type="dxa"/>
            <w:tcBorders>
              <w:left w:val="nil"/>
              <w:bottom w:val="single" w:sz="4" w:space="0" w:color="auto"/>
              <w:right w:val="nil"/>
            </w:tcBorders>
            <w:vAlign w:val="center"/>
          </w:tcPr>
          <w:p w14:paraId="0C570139"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F</w:t>
            </w:r>
          </w:p>
        </w:tc>
        <w:tc>
          <w:tcPr>
            <w:tcW w:w="796" w:type="dxa"/>
            <w:tcBorders>
              <w:left w:val="nil"/>
              <w:bottom w:val="single" w:sz="4" w:space="0" w:color="auto"/>
              <w:right w:val="nil"/>
            </w:tcBorders>
            <w:vAlign w:val="center"/>
          </w:tcPr>
          <w:p w14:paraId="00D6A813"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Sig</w:t>
            </w:r>
          </w:p>
        </w:tc>
        <w:tc>
          <w:tcPr>
            <w:tcW w:w="656" w:type="dxa"/>
            <w:tcBorders>
              <w:left w:val="nil"/>
              <w:bottom w:val="single" w:sz="4" w:space="0" w:color="auto"/>
              <w:right w:val="nil"/>
            </w:tcBorders>
            <w:vAlign w:val="center"/>
          </w:tcPr>
          <w:p w14:paraId="45FA9581"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t</w:t>
            </w:r>
          </w:p>
        </w:tc>
        <w:tc>
          <w:tcPr>
            <w:tcW w:w="865" w:type="dxa"/>
            <w:tcBorders>
              <w:left w:val="nil"/>
              <w:bottom w:val="single" w:sz="4" w:space="0" w:color="auto"/>
              <w:right w:val="nil"/>
            </w:tcBorders>
            <w:vAlign w:val="center"/>
          </w:tcPr>
          <w:p w14:paraId="39463CF9"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Sig (2-tailed)</w:t>
            </w:r>
          </w:p>
        </w:tc>
        <w:tc>
          <w:tcPr>
            <w:tcW w:w="1422" w:type="dxa"/>
            <w:tcBorders>
              <w:left w:val="nil"/>
              <w:bottom w:val="single" w:sz="4" w:space="0" w:color="auto"/>
              <w:right w:val="nil"/>
            </w:tcBorders>
            <w:vAlign w:val="center"/>
          </w:tcPr>
          <w:p w14:paraId="569DE9DB"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Mean Diff (Thousand USD)</w:t>
            </w:r>
          </w:p>
        </w:tc>
        <w:tc>
          <w:tcPr>
            <w:tcW w:w="941" w:type="dxa"/>
            <w:tcBorders>
              <w:left w:val="nil"/>
              <w:bottom w:val="single" w:sz="4" w:space="0" w:color="auto"/>
            </w:tcBorders>
            <w:vAlign w:val="center"/>
          </w:tcPr>
          <w:p w14:paraId="032168C1"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Std. Error Diff</w:t>
            </w:r>
          </w:p>
        </w:tc>
      </w:tr>
      <w:tr w:rsidR="00A34600" w:rsidRPr="00412070" w14:paraId="2897667F" w14:textId="77777777" w:rsidTr="000F1C1F">
        <w:trPr>
          <w:trHeight w:val="489"/>
          <w:jc w:val="center"/>
        </w:trPr>
        <w:tc>
          <w:tcPr>
            <w:tcW w:w="8821" w:type="dxa"/>
            <w:gridSpan w:val="8"/>
            <w:tcBorders>
              <w:bottom w:val="nil"/>
            </w:tcBorders>
            <w:vAlign w:val="center"/>
          </w:tcPr>
          <w:p w14:paraId="5CD6696D" w14:textId="77777777" w:rsidR="000F1C1F" w:rsidRPr="00412070" w:rsidRDefault="003461B6" w:rsidP="00412070">
            <w:pPr>
              <w:rPr>
                <w:rFonts w:ascii="ShangralaW90-Regular" w:hAnsi="ShangralaW90-Regular"/>
                <w:sz w:val="20"/>
                <w:szCs w:val="20"/>
                <w:lang w:val="id-ID"/>
              </w:rPr>
            </w:pPr>
            <w:r w:rsidRPr="00412070">
              <w:rPr>
                <w:rFonts w:ascii="ShangralaW90-Regular" w:hAnsi="ShangralaW90-Regular"/>
                <w:sz w:val="20"/>
                <w:szCs w:val="20"/>
              </w:rPr>
              <w:t>Singapore’s Sectoral FDI in Riau Islands</w:t>
            </w:r>
          </w:p>
        </w:tc>
      </w:tr>
      <w:tr w:rsidR="00A34600" w:rsidRPr="00412070" w14:paraId="4946E7D9" w14:textId="77777777" w:rsidTr="007C4EF2">
        <w:trPr>
          <w:trHeight w:val="514"/>
          <w:jc w:val="center"/>
        </w:trPr>
        <w:tc>
          <w:tcPr>
            <w:tcW w:w="1449" w:type="dxa"/>
            <w:vMerge w:val="restart"/>
            <w:tcBorders>
              <w:top w:val="nil"/>
              <w:bottom w:val="nil"/>
              <w:right w:val="nil"/>
            </w:tcBorders>
          </w:tcPr>
          <w:p w14:paraId="5343DF31" w14:textId="77777777" w:rsidR="000F1C1F" w:rsidRPr="00412070" w:rsidRDefault="003461B6" w:rsidP="00412070">
            <w:pPr>
              <w:jc w:val="center"/>
              <w:rPr>
                <w:rFonts w:ascii="ShangralaW90-Regular" w:hAnsi="ShangralaW90-Regular"/>
                <w:sz w:val="20"/>
                <w:szCs w:val="20"/>
              </w:rPr>
            </w:pPr>
            <w:r w:rsidRPr="00412070">
              <w:rPr>
                <w:rFonts w:ascii="ShangralaW90-Regular" w:hAnsi="ShangralaW90-Regular"/>
                <w:sz w:val="20"/>
                <w:szCs w:val="20"/>
                <w:lang w:val="id-ID"/>
              </w:rPr>
              <w:t xml:space="preserve">Manufacturing </w:t>
            </w:r>
            <w:r w:rsidRPr="00412070">
              <w:rPr>
                <w:rFonts w:ascii="ShangralaW90-Regular" w:hAnsi="ShangralaW90-Regular"/>
                <w:sz w:val="20"/>
                <w:szCs w:val="20"/>
              </w:rPr>
              <w:t xml:space="preserve">(n: 31) </w:t>
            </w:r>
            <w:r w:rsidRPr="00412070">
              <w:rPr>
                <w:rFonts w:ascii="ShangralaW90-Regular" w:hAnsi="ShangralaW90-Regular"/>
                <w:sz w:val="20"/>
                <w:szCs w:val="20"/>
                <w:lang w:val="id-ID"/>
              </w:rPr>
              <w:t>vs Non-Manufacturing</w:t>
            </w:r>
            <w:r w:rsidRPr="00412070">
              <w:rPr>
                <w:rFonts w:ascii="ShangralaW90-Regular" w:hAnsi="ShangralaW90-Regular"/>
                <w:sz w:val="20"/>
                <w:szCs w:val="20"/>
              </w:rPr>
              <w:t xml:space="preserve"> (n: 31)</w:t>
            </w:r>
          </w:p>
        </w:tc>
        <w:tc>
          <w:tcPr>
            <w:tcW w:w="1866" w:type="dxa"/>
            <w:tcBorders>
              <w:top w:val="nil"/>
              <w:left w:val="nil"/>
              <w:bottom w:val="nil"/>
              <w:right w:val="nil"/>
            </w:tcBorders>
          </w:tcPr>
          <w:p w14:paraId="6DD63875" w14:textId="77777777" w:rsidR="000F1C1F" w:rsidRPr="00412070" w:rsidRDefault="003461B6" w:rsidP="00412070">
            <w:pPr>
              <w:rPr>
                <w:rFonts w:ascii="ShangralaW90-Regular" w:hAnsi="ShangralaW90-Regular"/>
                <w:sz w:val="20"/>
                <w:szCs w:val="20"/>
                <w:lang w:val="id-ID"/>
              </w:rPr>
            </w:pPr>
            <w:r w:rsidRPr="00412070">
              <w:rPr>
                <w:rFonts w:ascii="ShangralaW90-Regular" w:hAnsi="ShangralaW90-Regular"/>
                <w:sz w:val="20"/>
                <w:szCs w:val="20"/>
                <w:lang w:val="id-ID"/>
              </w:rPr>
              <w:t>Equal variances assumed</w:t>
            </w:r>
          </w:p>
        </w:tc>
        <w:tc>
          <w:tcPr>
            <w:tcW w:w="826" w:type="dxa"/>
            <w:tcBorders>
              <w:top w:val="nil"/>
              <w:left w:val="nil"/>
              <w:bottom w:val="nil"/>
              <w:right w:val="nil"/>
            </w:tcBorders>
          </w:tcPr>
          <w:p w14:paraId="4E40E2A7"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1.209</w:t>
            </w:r>
          </w:p>
        </w:tc>
        <w:tc>
          <w:tcPr>
            <w:tcW w:w="796" w:type="dxa"/>
            <w:tcBorders>
              <w:top w:val="nil"/>
              <w:left w:val="nil"/>
              <w:bottom w:val="nil"/>
              <w:right w:val="nil"/>
            </w:tcBorders>
          </w:tcPr>
          <w:p w14:paraId="2A440E24"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.276</w:t>
            </w:r>
          </w:p>
        </w:tc>
        <w:tc>
          <w:tcPr>
            <w:tcW w:w="656" w:type="dxa"/>
            <w:tcBorders>
              <w:top w:val="nil"/>
              <w:left w:val="nil"/>
              <w:bottom w:val="nil"/>
              <w:right w:val="nil"/>
            </w:tcBorders>
          </w:tcPr>
          <w:p w14:paraId="0FDF3D05"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.561</w:t>
            </w:r>
          </w:p>
        </w:tc>
        <w:tc>
          <w:tcPr>
            <w:tcW w:w="865" w:type="dxa"/>
            <w:tcBorders>
              <w:top w:val="nil"/>
              <w:left w:val="nil"/>
              <w:bottom w:val="nil"/>
              <w:right w:val="nil"/>
            </w:tcBorders>
          </w:tcPr>
          <w:p w14:paraId="0234964D"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.577</w:t>
            </w:r>
          </w:p>
        </w:tc>
        <w:tc>
          <w:tcPr>
            <w:tcW w:w="1422" w:type="dxa"/>
            <w:tcBorders>
              <w:top w:val="nil"/>
              <w:left w:val="nil"/>
              <w:bottom w:val="nil"/>
              <w:right w:val="nil"/>
            </w:tcBorders>
          </w:tcPr>
          <w:p w14:paraId="3676C544"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24817.06</w:t>
            </w:r>
          </w:p>
        </w:tc>
        <w:tc>
          <w:tcPr>
            <w:tcW w:w="941" w:type="dxa"/>
            <w:tcBorders>
              <w:top w:val="nil"/>
              <w:left w:val="nil"/>
              <w:bottom w:val="nil"/>
            </w:tcBorders>
          </w:tcPr>
          <w:p w14:paraId="057A8B84"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44207.98</w:t>
            </w:r>
          </w:p>
        </w:tc>
      </w:tr>
      <w:tr w:rsidR="00A34600" w:rsidRPr="00412070" w14:paraId="775C76E3" w14:textId="77777777" w:rsidTr="007C4EF2">
        <w:trPr>
          <w:trHeight w:val="500"/>
          <w:jc w:val="center"/>
        </w:trPr>
        <w:tc>
          <w:tcPr>
            <w:tcW w:w="1449" w:type="dxa"/>
            <w:vMerge/>
            <w:tcBorders>
              <w:top w:val="nil"/>
              <w:right w:val="nil"/>
            </w:tcBorders>
          </w:tcPr>
          <w:p w14:paraId="40393FB5" w14:textId="77777777" w:rsidR="000F1C1F" w:rsidRPr="00412070" w:rsidRDefault="000F1C1F" w:rsidP="00412070">
            <w:pPr>
              <w:jc w:val="center"/>
              <w:rPr>
                <w:rFonts w:ascii="ShangralaW90-Regular" w:hAnsi="ShangralaW90-Regular"/>
                <w:sz w:val="20"/>
                <w:szCs w:val="20"/>
                <w:lang w:val="id-ID"/>
              </w:rPr>
            </w:pPr>
          </w:p>
        </w:tc>
        <w:tc>
          <w:tcPr>
            <w:tcW w:w="1866" w:type="dxa"/>
            <w:tcBorders>
              <w:top w:val="nil"/>
              <w:left w:val="nil"/>
              <w:right w:val="nil"/>
            </w:tcBorders>
          </w:tcPr>
          <w:p w14:paraId="6F4DCE5B" w14:textId="77777777" w:rsidR="000F1C1F" w:rsidRPr="00412070" w:rsidRDefault="003461B6" w:rsidP="00412070">
            <w:pPr>
              <w:rPr>
                <w:rFonts w:ascii="ShangralaW90-Regular" w:hAnsi="ShangralaW90-Regular"/>
                <w:sz w:val="20"/>
                <w:szCs w:val="20"/>
                <w:lang w:val="id-ID"/>
              </w:rPr>
            </w:pPr>
            <w:r w:rsidRPr="00412070">
              <w:rPr>
                <w:rFonts w:ascii="ShangralaW90-Regular" w:hAnsi="ShangralaW90-Regular"/>
                <w:sz w:val="20"/>
                <w:szCs w:val="20"/>
                <w:lang w:val="id-ID"/>
              </w:rPr>
              <w:t>Equal variances not assumed</w:t>
            </w:r>
          </w:p>
        </w:tc>
        <w:tc>
          <w:tcPr>
            <w:tcW w:w="826" w:type="dxa"/>
            <w:tcBorders>
              <w:top w:val="nil"/>
              <w:left w:val="nil"/>
              <w:right w:val="nil"/>
            </w:tcBorders>
          </w:tcPr>
          <w:p w14:paraId="16F25D77" w14:textId="77777777" w:rsidR="000F1C1F" w:rsidRPr="00412070" w:rsidRDefault="000F1C1F" w:rsidP="00412070">
            <w:pPr>
              <w:jc w:val="center"/>
              <w:rPr>
                <w:rFonts w:ascii="ShangralaW90-Regular" w:hAnsi="ShangralaW90-Regular"/>
                <w:sz w:val="20"/>
                <w:szCs w:val="20"/>
                <w:lang w:val="id-ID"/>
              </w:rPr>
            </w:pPr>
          </w:p>
        </w:tc>
        <w:tc>
          <w:tcPr>
            <w:tcW w:w="796" w:type="dxa"/>
            <w:tcBorders>
              <w:top w:val="nil"/>
              <w:left w:val="nil"/>
              <w:right w:val="nil"/>
            </w:tcBorders>
          </w:tcPr>
          <w:p w14:paraId="6AF860FD" w14:textId="77777777" w:rsidR="000F1C1F" w:rsidRPr="00412070" w:rsidRDefault="000F1C1F" w:rsidP="00412070">
            <w:pPr>
              <w:jc w:val="center"/>
              <w:rPr>
                <w:rFonts w:ascii="ShangralaW90-Regular" w:hAnsi="ShangralaW90-Regular"/>
                <w:sz w:val="20"/>
                <w:szCs w:val="20"/>
                <w:lang w:val="id-ID"/>
              </w:rPr>
            </w:pPr>
          </w:p>
        </w:tc>
        <w:tc>
          <w:tcPr>
            <w:tcW w:w="656" w:type="dxa"/>
            <w:tcBorders>
              <w:top w:val="nil"/>
              <w:left w:val="nil"/>
              <w:right w:val="nil"/>
            </w:tcBorders>
          </w:tcPr>
          <w:p w14:paraId="55ADC40B"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.561</w:t>
            </w:r>
          </w:p>
        </w:tc>
        <w:tc>
          <w:tcPr>
            <w:tcW w:w="865" w:type="dxa"/>
            <w:tcBorders>
              <w:top w:val="nil"/>
              <w:left w:val="nil"/>
              <w:right w:val="nil"/>
            </w:tcBorders>
          </w:tcPr>
          <w:p w14:paraId="0646B6D6"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.577</w:t>
            </w:r>
          </w:p>
        </w:tc>
        <w:tc>
          <w:tcPr>
            <w:tcW w:w="1422" w:type="dxa"/>
            <w:tcBorders>
              <w:top w:val="nil"/>
              <w:left w:val="nil"/>
              <w:right w:val="nil"/>
            </w:tcBorders>
          </w:tcPr>
          <w:p w14:paraId="61E0E53D"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24817.06</w:t>
            </w:r>
          </w:p>
        </w:tc>
        <w:tc>
          <w:tcPr>
            <w:tcW w:w="941" w:type="dxa"/>
            <w:tcBorders>
              <w:top w:val="nil"/>
              <w:left w:val="nil"/>
            </w:tcBorders>
          </w:tcPr>
          <w:p w14:paraId="0BC74987" w14:textId="77777777" w:rsidR="000F1C1F" w:rsidRPr="00412070" w:rsidRDefault="003461B6" w:rsidP="00412070">
            <w:pPr>
              <w:jc w:val="center"/>
              <w:rPr>
                <w:rFonts w:ascii="ShangralaW90-Regular" w:hAnsi="ShangralaW90-Regular"/>
                <w:sz w:val="20"/>
                <w:szCs w:val="20"/>
                <w:lang w:val="id-ID"/>
              </w:rPr>
            </w:pPr>
            <w:r w:rsidRPr="00412070">
              <w:rPr>
                <w:rFonts w:ascii="ShangralaW90-Regular" w:hAnsi="ShangralaW90-Regular"/>
                <w:sz w:val="20"/>
                <w:szCs w:val="20"/>
                <w:lang w:val="id-ID"/>
              </w:rPr>
              <w:t>44207.98</w:t>
            </w:r>
          </w:p>
        </w:tc>
      </w:tr>
    </w:tbl>
    <w:p w14:paraId="3149E12B" w14:textId="77777777" w:rsidR="00871D65" w:rsidRDefault="00871D65" w:rsidP="007C4EF2">
      <w:pPr>
        <w:spacing w:line="276" w:lineRule="auto"/>
        <w:ind w:firstLine="540"/>
        <w:jc w:val="both"/>
        <w:rPr>
          <w:rFonts w:ascii="ShangralaW90-Regular" w:hAnsi="ShangralaW90-Regular"/>
          <w:sz w:val="22"/>
          <w:szCs w:val="22"/>
        </w:rPr>
      </w:pPr>
    </w:p>
    <w:p w14:paraId="0C964161" w14:textId="76146C3C" w:rsidR="001E3529" w:rsidRDefault="001E3529" w:rsidP="001E3529">
      <w:pPr>
        <w:spacing w:line="276" w:lineRule="auto"/>
        <w:ind w:firstLine="540"/>
        <w:jc w:val="both"/>
        <w:rPr>
          <w:rFonts w:ascii="ShangralaW90-Regular" w:hAnsi="ShangralaW90-Regular"/>
          <w:sz w:val="22"/>
          <w:szCs w:val="22"/>
        </w:rPr>
      </w:pPr>
      <w:r w:rsidRPr="000F1C1F">
        <w:rPr>
          <w:rFonts w:ascii="ShangralaW90-Regular" w:hAnsi="ShangralaW90-Regular"/>
          <w:sz w:val="22"/>
          <w:szCs w:val="22"/>
        </w:rPr>
        <w:t xml:space="preserve">The </w:t>
      </w:r>
      <w:r w:rsidRPr="00E80F77">
        <w:rPr>
          <w:rFonts w:ascii="ShangralaW90-Regular" w:hAnsi="ShangralaW90-Regular"/>
          <w:sz w:val="22"/>
          <w:szCs w:val="22"/>
          <w:highlight w:val="green"/>
        </w:rPr>
        <w:t>authors</w:t>
      </w:r>
      <w:r w:rsidRPr="000F1C1F">
        <w:rPr>
          <w:rFonts w:ascii="ShangralaW90-Regular" w:hAnsi="ShangralaW90-Regular"/>
          <w:sz w:val="22"/>
          <w:szCs w:val="22"/>
        </w:rPr>
        <w:t xml:space="preserve"> then </w:t>
      </w:r>
      <w:proofErr w:type="spellStart"/>
      <w:r w:rsidRPr="000F1C1F">
        <w:rPr>
          <w:rFonts w:ascii="ShangralaW90-Regular" w:hAnsi="ShangralaW90-Regular"/>
          <w:sz w:val="22"/>
          <w:szCs w:val="22"/>
        </w:rPr>
        <w:t>analyzed</w:t>
      </w:r>
      <w:proofErr w:type="spellEnd"/>
      <w:r w:rsidRPr="000F1C1F">
        <w:rPr>
          <w:rFonts w:ascii="ShangralaW90-Regular" w:hAnsi="ShangralaW90-Regular"/>
          <w:sz w:val="22"/>
          <w:szCs w:val="22"/>
        </w:rPr>
        <w:t xml:space="preserve"> the t-test for equality means without the assumption of equal variances. The computed t value </w:t>
      </w:r>
      <w:r w:rsidRPr="009C4968">
        <w:rPr>
          <w:rFonts w:ascii="ShangralaW90-Regular" w:hAnsi="ShangralaW90-Regular"/>
          <w:sz w:val="22"/>
          <w:szCs w:val="22"/>
          <w:highlight w:val="green"/>
        </w:rPr>
        <w:t>is</w:t>
      </w:r>
      <w:r w:rsidRPr="000F1C1F">
        <w:rPr>
          <w:rFonts w:ascii="ShangralaW90-Regular" w:hAnsi="ShangralaW90-Regular"/>
          <w:sz w:val="22"/>
          <w:szCs w:val="22"/>
        </w:rPr>
        <w:t xml:space="preserve"> 0.561 and the computed p-value was 0.561, </w:t>
      </w:r>
      <w:r w:rsidRPr="009C4968">
        <w:rPr>
          <w:rFonts w:ascii="ShangralaW90-Regular" w:hAnsi="ShangralaW90-Regular"/>
          <w:sz w:val="22"/>
          <w:szCs w:val="22"/>
          <w:highlight w:val="green"/>
        </w:rPr>
        <w:t>which is</w:t>
      </w:r>
      <w:r w:rsidRPr="000F1C1F">
        <w:rPr>
          <w:rFonts w:ascii="ShangralaW90-Regular" w:hAnsi="ShangralaW90-Regular"/>
          <w:sz w:val="22"/>
          <w:szCs w:val="22"/>
        </w:rPr>
        <w:t xml:space="preserve"> greater than the 0.05 significance level (Table 4). Thus, </w:t>
      </w:r>
      <w:r w:rsidRPr="009C4968">
        <w:rPr>
          <w:rFonts w:ascii="ShangralaW90-Regular" w:hAnsi="ShangralaW90-Regular"/>
          <w:sz w:val="22"/>
          <w:szCs w:val="22"/>
          <w:highlight w:val="green"/>
        </w:rPr>
        <w:t>authors</w:t>
      </w:r>
      <w:r w:rsidRPr="000F1C1F">
        <w:rPr>
          <w:rFonts w:ascii="ShangralaW90-Regular" w:hAnsi="ShangralaW90-Regular"/>
          <w:sz w:val="22"/>
          <w:szCs w:val="22"/>
        </w:rPr>
        <w:t xml:space="preserve"> failed to reject </w:t>
      </w:r>
      <w:r w:rsidRPr="009C4968">
        <w:rPr>
          <w:rFonts w:ascii="ShangralaW90-Regular" w:hAnsi="ShangralaW90-Regular"/>
          <w:sz w:val="22"/>
          <w:szCs w:val="22"/>
          <w:highlight w:val="green"/>
        </w:rPr>
        <w:t>H</w:t>
      </w:r>
      <w:r w:rsidRPr="009C4968">
        <w:rPr>
          <w:rFonts w:ascii="ShangralaW90-Regular" w:hAnsi="ShangralaW90-Regular"/>
          <w:sz w:val="22"/>
          <w:szCs w:val="22"/>
          <w:highlight w:val="green"/>
          <w:vertAlign w:val="subscript"/>
        </w:rPr>
        <w:t>0</w:t>
      </w:r>
      <w:r w:rsidRPr="000F1C1F">
        <w:rPr>
          <w:rFonts w:ascii="ShangralaW90-Regular" w:hAnsi="ShangralaW90-Regular"/>
          <w:sz w:val="22"/>
          <w:szCs w:val="22"/>
        </w:rPr>
        <w:t xml:space="preserve">, </w:t>
      </w:r>
      <w:r w:rsidRPr="009C4968">
        <w:rPr>
          <w:rFonts w:ascii="ShangralaW90-Regular" w:hAnsi="ShangralaW90-Regular"/>
          <w:sz w:val="22"/>
          <w:szCs w:val="22"/>
          <w:highlight w:val="green"/>
        </w:rPr>
        <w:t>that is</w:t>
      </w:r>
      <w:r w:rsidRPr="000F1C1F">
        <w:rPr>
          <w:rFonts w:ascii="ShangralaW90-Regular" w:hAnsi="ShangralaW90-Regular"/>
          <w:sz w:val="22"/>
          <w:szCs w:val="22"/>
        </w:rPr>
        <w:t xml:space="preserve"> Singapore's manufacturing FDI in the Riau islands </w:t>
      </w:r>
      <w:r w:rsidRPr="009C4968">
        <w:rPr>
          <w:rFonts w:ascii="ShangralaW90-Regular" w:hAnsi="ShangralaW90-Regular"/>
          <w:sz w:val="22"/>
          <w:szCs w:val="22"/>
          <w:highlight w:val="green"/>
        </w:rPr>
        <w:t>is</w:t>
      </w:r>
      <w:r w:rsidRPr="000F1C1F">
        <w:rPr>
          <w:rFonts w:ascii="ShangralaW90-Regular" w:hAnsi="ShangralaW90-Regular"/>
          <w:sz w:val="22"/>
          <w:szCs w:val="22"/>
        </w:rPr>
        <w:t xml:space="preserve"> not significantly different from Singapore’s non-manufacturing FDI (Hypothesis 4). The positive mean </w:t>
      </w:r>
      <w:r w:rsidRPr="009C4968">
        <w:rPr>
          <w:rFonts w:ascii="ShangralaW90-Regular" w:hAnsi="ShangralaW90-Regular"/>
          <w:sz w:val="22"/>
          <w:szCs w:val="22"/>
          <w:highlight w:val="green"/>
        </w:rPr>
        <w:t>differences show</w:t>
      </w:r>
      <w:r w:rsidRPr="000F1C1F">
        <w:rPr>
          <w:rFonts w:ascii="ShangralaW90-Regular" w:hAnsi="ShangralaW90-Regular"/>
          <w:sz w:val="22"/>
          <w:szCs w:val="22"/>
        </w:rPr>
        <w:t xml:space="preserve"> that Singapore's investment in the manufacturing </w:t>
      </w:r>
      <w:r w:rsidRPr="000F1C1F">
        <w:rPr>
          <w:rFonts w:ascii="ShangralaW90-Regular" w:hAnsi="ShangralaW90-Regular"/>
          <w:sz w:val="22"/>
          <w:szCs w:val="22"/>
        </w:rPr>
        <w:lastRenderedPageBreak/>
        <w:t>sector was greater than that in the non-manufacturing sector. The statistical result is true because Singapore invested USD 3.2 billion in the manufacturing sector and USD 2.4 billion in the non-manufacturing sector from 1990 to 2020.  T</w:t>
      </w:r>
      <w:r w:rsidR="005A18D3">
        <w:rPr>
          <w:rFonts w:ascii="ShangralaW90-Regular" w:hAnsi="ShangralaW90-Regular"/>
          <w:sz w:val="22"/>
          <w:szCs w:val="22"/>
        </w:rPr>
        <w:t>herefore</w:t>
      </w:r>
      <w:r w:rsidRPr="000F1C1F">
        <w:rPr>
          <w:rFonts w:ascii="ShangralaW90-Regular" w:hAnsi="ShangralaW90-Regular"/>
          <w:sz w:val="22"/>
          <w:szCs w:val="22"/>
        </w:rPr>
        <w:t xml:space="preserve">, these findings did not confirm the previous study </w:t>
      </w:r>
      <w:r w:rsidRPr="00753021">
        <w:rPr>
          <w:rFonts w:ascii="ShangralaW90-Regular" w:hAnsi="ShangralaW90-Regular"/>
          <w:sz w:val="22"/>
          <w:szCs w:val="22"/>
          <w:highlight w:val="green"/>
        </w:rPr>
        <w:t>by</w:t>
      </w:r>
      <w:r w:rsidRPr="000F1C1F">
        <w:rPr>
          <w:rFonts w:ascii="ShangralaW90-Regular" w:hAnsi="ShangralaW90-Regular"/>
          <w:sz w:val="22"/>
          <w:szCs w:val="22"/>
        </w:rPr>
        <w:t xml:space="preserve"> </w:t>
      </w:r>
      <w:proofErr w:type="spellStart"/>
      <w:r w:rsidRPr="000F1C1F">
        <w:rPr>
          <w:rFonts w:ascii="ShangralaW90-Regular" w:hAnsi="ShangralaW90-Regular"/>
          <w:sz w:val="22"/>
          <w:szCs w:val="22"/>
        </w:rPr>
        <w:t>Xiaodong</w:t>
      </w:r>
      <w:proofErr w:type="spellEnd"/>
      <w:r w:rsidRPr="000F1C1F">
        <w:rPr>
          <w:rFonts w:ascii="ShangralaW90-Regular" w:hAnsi="ShangralaW90-Regular"/>
          <w:sz w:val="22"/>
          <w:szCs w:val="22"/>
        </w:rPr>
        <w:t xml:space="preserve"> (2019) arguing that Singapore tends to invest more in the tertiary sector.</w:t>
      </w:r>
    </w:p>
    <w:p w14:paraId="7A500E73" w14:textId="3F647982" w:rsidR="007C4EF2" w:rsidRDefault="003461B6" w:rsidP="00CB0EF1">
      <w:pPr>
        <w:spacing w:line="276" w:lineRule="auto"/>
        <w:ind w:firstLine="540"/>
        <w:jc w:val="both"/>
        <w:rPr>
          <w:rFonts w:ascii="ShangralaW90-Regular" w:hAnsi="ShangralaW90-Regular"/>
          <w:sz w:val="22"/>
          <w:szCs w:val="22"/>
        </w:rPr>
      </w:pPr>
      <w:r w:rsidRPr="007C4EF2">
        <w:rPr>
          <w:rFonts w:ascii="ShangralaW90-Regular" w:hAnsi="ShangralaW90-Regular"/>
          <w:sz w:val="22"/>
          <w:szCs w:val="22"/>
        </w:rPr>
        <w:t xml:space="preserve">In the early decade of the subregional cooperation, Singapore mostly invested in six major manufacturing subsectors. The first is the equipment, machinery, electrical and electronic industry in Riau Islands. Despite its value under USD 100 million, Singapore's FDI in this subsector continued to increase till 2020. It seems Singapore maintained the stability of investment in this subsector. The second is motor vehicles other transport equipment industries. The highest investment in this subsector only took place in 1999.  After the year, the investment never reached USD 60 million (Figure 5).  </w:t>
      </w:r>
      <w:r w:rsidR="00CB0EF1">
        <w:rPr>
          <w:rFonts w:ascii="ShangralaW90-Regular" w:hAnsi="ShangralaW90-Regular"/>
          <w:sz w:val="22"/>
          <w:szCs w:val="22"/>
        </w:rPr>
        <w:t xml:space="preserve"> </w:t>
      </w:r>
      <w:r w:rsidRPr="007C4EF2">
        <w:rPr>
          <w:rFonts w:ascii="ShangralaW90-Regular" w:hAnsi="ShangralaW90-Regular"/>
          <w:sz w:val="22"/>
          <w:szCs w:val="22"/>
        </w:rPr>
        <w:t xml:space="preserve">The third is the rubber and plastic industry with the lowest value of investment till 2015. After 2015, Singapore invested more in this subsector mainly in 2016 and 2020. The fourth is an investment in the metal industry (not machinery electronic industry) in 1997. The investment in this subsector began to hike up in 2016 and reached USD 784 million in 2020. The fifth is an investment in the chemical and pharmaceutical industry in 1999 that was kept low. The highest investment only took place in 2018, which is USD 161 million. The sixth is an investment in the food industry, firstly initiated in 2000 and reaching a value of more than USD 150 million only in 2020 (Figure 5).  </w:t>
      </w:r>
    </w:p>
    <w:p w14:paraId="6C475E31" w14:textId="77777777" w:rsidR="00CB0EF1" w:rsidRPr="00CB0EF1" w:rsidRDefault="003461B6" w:rsidP="00B268A4">
      <w:pPr>
        <w:spacing w:line="276" w:lineRule="auto"/>
        <w:jc w:val="both"/>
        <w:rPr>
          <w:rFonts w:ascii="ShangralaW90-Regular" w:hAnsi="ShangralaW90-Regular"/>
          <w:sz w:val="22"/>
          <w:szCs w:val="22"/>
        </w:rPr>
      </w:pPr>
      <w:r>
        <w:rPr>
          <w:noProof/>
        </w:rPr>
        <w:drawing>
          <wp:anchor distT="0" distB="0" distL="114300" distR="114300" simplePos="0" relativeHeight="251659264" behindDoc="0" locked="0" layoutInCell="1" allowOverlap="1" wp14:anchorId="5BB61EF1" wp14:editId="74CDF8F6">
            <wp:simplePos x="0" y="0"/>
            <wp:positionH relativeFrom="margin">
              <wp:align>center</wp:align>
            </wp:positionH>
            <wp:positionV relativeFrom="paragraph">
              <wp:posOffset>86905</wp:posOffset>
            </wp:positionV>
            <wp:extent cx="5974715" cy="2947035"/>
            <wp:effectExtent l="0" t="0" r="698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974715" cy="294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566EE" w14:textId="77777777" w:rsidR="007C4EF2" w:rsidRPr="00AF775F" w:rsidRDefault="003461B6" w:rsidP="007C4EF2">
      <w:pPr>
        <w:pStyle w:val="Body"/>
        <w:contextualSpacing/>
        <w:jc w:val="center"/>
        <w:rPr>
          <w:rFonts w:ascii="ShangralaW90-Regular" w:eastAsia="Cambria" w:hAnsi="ShangralaW90-Regular" w:cs="Cambria"/>
          <w:color w:val="000000" w:themeColor="text1"/>
          <w:u w:color="FF0000"/>
        </w:rPr>
      </w:pPr>
      <w:r w:rsidRPr="00AF775F">
        <w:rPr>
          <w:rFonts w:ascii="ShangralaW90-Regular" w:eastAsia="Cambria" w:hAnsi="ShangralaW90-Regular" w:cs="Cambria"/>
          <w:i/>
          <w:color w:val="000000" w:themeColor="text1"/>
          <w:u w:color="FF0000"/>
        </w:rPr>
        <w:t>Figure 5.</w:t>
      </w:r>
      <w:r w:rsidRPr="00AF775F">
        <w:rPr>
          <w:rFonts w:ascii="ShangralaW90-Regular" w:eastAsia="Cambria" w:hAnsi="ShangralaW90-Regular" w:cs="Cambria"/>
          <w:color w:val="000000" w:themeColor="text1"/>
          <w:u w:color="FF0000"/>
        </w:rPr>
        <w:t xml:space="preserve"> Singapore’s FDI in Manufacturing Subsectors in Riau Islands</w:t>
      </w:r>
    </w:p>
    <w:p w14:paraId="497A65F1" w14:textId="77777777" w:rsidR="007C4EF2" w:rsidRDefault="003461B6" w:rsidP="007C4EF2">
      <w:pPr>
        <w:pStyle w:val="Body"/>
        <w:contextualSpacing/>
        <w:jc w:val="center"/>
        <w:rPr>
          <w:rFonts w:ascii="ShangralaW90-Regular" w:eastAsia="Cambria" w:hAnsi="ShangralaW90-Regular" w:cs="Cambria"/>
          <w:color w:val="000000" w:themeColor="text1"/>
          <w:u w:color="FF0000"/>
        </w:rPr>
      </w:pPr>
      <w:r>
        <w:rPr>
          <w:rFonts w:ascii="ShangralaW90-Regular" w:eastAsia="Cambria" w:hAnsi="ShangralaW90-Regular" w:cs="Cambria"/>
          <w:color w:val="000000" w:themeColor="text1"/>
          <w:u w:color="FF0000"/>
        </w:rPr>
        <w:t>(</w:t>
      </w:r>
      <w:r w:rsidR="00AF775F">
        <w:rPr>
          <w:rFonts w:ascii="ShangralaW90-Regular" w:eastAsia="Cambria" w:hAnsi="ShangralaW90-Regular" w:cs="Cambria"/>
          <w:color w:val="000000" w:themeColor="text1"/>
          <w:u w:color="FF0000"/>
        </w:rPr>
        <w:t xml:space="preserve">Source: </w:t>
      </w:r>
      <w:r w:rsidRPr="006C4E11">
        <w:rPr>
          <w:rFonts w:ascii="ShangralaW90-Regular" w:eastAsia="Cambria" w:hAnsi="ShangralaW90-Regular" w:cs="Cambria"/>
          <w:color w:val="000000" w:themeColor="text1"/>
          <w:highlight w:val="green"/>
          <w:u w:color="FF0000"/>
        </w:rPr>
        <w:t>Author</w:t>
      </w:r>
      <w:r w:rsidR="00AF775F" w:rsidRPr="006C4E11">
        <w:rPr>
          <w:rFonts w:ascii="ShangralaW90-Regular" w:eastAsia="Cambria" w:hAnsi="ShangralaW90-Regular" w:cs="Cambria"/>
          <w:color w:val="000000" w:themeColor="text1"/>
          <w:highlight w:val="green"/>
          <w:u w:color="FF0000"/>
        </w:rPr>
        <w:t>s</w:t>
      </w:r>
      <w:r w:rsidR="006C4E11">
        <w:rPr>
          <w:rFonts w:ascii="ShangralaW90-Regular" w:eastAsia="Cambria" w:hAnsi="ShangralaW90-Regular" w:cs="Cambria"/>
          <w:color w:val="000000" w:themeColor="text1"/>
          <w:highlight w:val="green"/>
          <w:u w:color="FF0000"/>
        </w:rPr>
        <w:t>’</w:t>
      </w:r>
      <w:r>
        <w:rPr>
          <w:rFonts w:ascii="ShangralaW90-Regular" w:eastAsia="Cambria" w:hAnsi="ShangralaW90-Regular" w:cs="Cambria"/>
          <w:color w:val="000000" w:themeColor="text1"/>
          <w:u w:color="FF0000"/>
        </w:rPr>
        <w:t xml:space="preserve"> compilation based on data from NSWi Ministry of Investment (n.d))</w:t>
      </w:r>
    </w:p>
    <w:p w14:paraId="77A5B234" w14:textId="77777777" w:rsidR="001E5DAC" w:rsidRDefault="001E5DAC" w:rsidP="00DA389F">
      <w:pPr>
        <w:pStyle w:val="Body"/>
        <w:spacing w:after="120"/>
        <w:jc w:val="both"/>
        <w:rPr>
          <w:rFonts w:ascii="ShangralaW90-Regular" w:eastAsia="Cambria" w:hAnsi="ShangralaW90-Regular" w:cs="Cambria"/>
          <w:color w:val="000000" w:themeColor="text1"/>
          <w:u w:color="FF0000"/>
        </w:rPr>
      </w:pPr>
    </w:p>
    <w:p w14:paraId="2AB2650F" w14:textId="77777777" w:rsidR="00412070" w:rsidRDefault="00412070" w:rsidP="00412070">
      <w:pPr>
        <w:pStyle w:val="Body"/>
        <w:spacing w:after="240"/>
        <w:ind w:firstLine="540"/>
        <w:jc w:val="both"/>
        <w:rPr>
          <w:rFonts w:ascii="ShangralaW90-Regular" w:eastAsia="Cambria" w:hAnsi="ShangralaW90-Regular" w:cs="Cambria"/>
          <w:color w:val="000000" w:themeColor="text1"/>
          <w:u w:color="FF0000"/>
        </w:rPr>
      </w:pPr>
      <w:r w:rsidRPr="007C4EF2">
        <w:rPr>
          <w:rFonts w:ascii="ShangralaW90-Regular" w:eastAsia="Cambria" w:hAnsi="ShangralaW90-Regular" w:cs="Cambria"/>
          <w:color w:val="000000" w:themeColor="text1"/>
          <w:u w:color="FF0000"/>
        </w:rPr>
        <w:t>One-way ANOVA test (</w:t>
      </w:r>
      <w:proofErr w:type="spellStart"/>
      <w:r w:rsidRPr="007C4EF2">
        <w:rPr>
          <w:rFonts w:ascii="ShangralaW90-Regular" w:eastAsia="Cambria" w:hAnsi="ShangralaW90-Regular" w:cs="Cambria"/>
          <w:color w:val="000000" w:themeColor="text1"/>
          <w:u w:color="FF0000"/>
        </w:rPr>
        <w:t>posthoc</w:t>
      </w:r>
      <w:proofErr w:type="spellEnd"/>
      <w:r w:rsidRPr="007C4EF2">
        <w:rPr>
          <w:rFonts w:ascii="ShangralaW90-Regular" w:eastAsia="Cambria" w:hAnsi="ShangralaW90-Regular" w:cs="Cambria"/>
          <w:color w:val="000000" w:themeColor="text1"/>
          <w:u w:color="FF0000"/>
        </w:rPr>
        <w:t xml:space="preserve"> test) was conducted by comparing Singapore's FDI in manufacturing subsectors in Riau Islands. </w:t>
      </w:r>
      <w:r w:rsidRPr="00523C3B">
        <w:rPr>
          <w:rFonts w:ascii="ShangralaW90-Regular" w:eastAsia="Cambria" w:hAnsi="ShangralaW90-Regular" w:cs="Cambria"/>
          <w:color w:val="000000" w:themeColor="text1"/>
          <w:highlight w:val="green"/>
          <w:u w:color="FF0000"/>
        </w:rPr>
        <w:t>Authors</w:t>
      </w:r>
      <w:r w:rsidRPr="007C4EF2">
        <w:rPr>
          <w:rFonts w:ascii="ShangralaW90-Regular" w:eastAsia="Cambria" w:hAnsi="ShangralaW90-Regular" w:cs="Cambria"/>
          <w:color w:val="000000" w:themeColor="text1"/>
          <w:u w:color="FF0000"/>
        </w:rPr>
        <w:t xml:space="preserve"> did not use the output of Tukey HSD under the </w:t>
      </w:r>
      <w:proofErr w:type="spellStart"/>
      <w:r w:rsidRPr="007C4EF2">
        <w:rPr>
          <w:rFonts w:ascii="ShangralaW90-Regular" w:eastAsia="Cambria" w:hAnsi="ShangralaW90-Regular" w:cs="Cambria"/>
          <w:color w:val="000000" w:themeColor="text1"/>
          <w:u w:color="FF0000"/>
        </w:rPr>
        <w:t>posthoc</w:t>
      </w:r>
      <w:proofErr w:type="spellEnd"/>
      <w:r w:rsidRPr="007C4EF2">
        <w:rPr>
          <w:rFonts w:ascii="ShangralaW90-Regular" w:eastAsia="Cambria" w:hAnsi="ShangralaW90-Regular" w:cs="Cambria"/>
          <w:color w:val="000000" w:themeColor="text1"/>
          <w:u w:color="FF0000"/>
        </w:rPr>
        <w:t xml:space="preserve"> test. Instead, </w:t>
      </w:r>
      <w:r w:rsidRPr="00523C3B">
        <w:rPr>
          <w:rFonts w:ascii="ShangralaW90-Regular" w:eastAsia="Cambria" w:hAnsi="ShangralaW90-Regular" w:cs="Cambria"/>
          <w:color w:val="000000" w:themeColor="text1"/>
          <w:highlight w:val="green"/>
          <w:u w:color="FF0000"/>
        </w:rPr>
        <w:t>author</w:t>
      </w:r>
      <w:r>
        <w:rPr>
          <w:rFonts w:ascii="ShangralaW90-Regular" w:eastAsia="Cambria" w:hAnsi="ShangralaW90-Regular" w:cs="Cambria"/>
          <w:color w:val="000000" w:themeColor="text1"/>
          <w:highlight w:val="green"/>
          <w:u w:color="FF0000"/>
        </w:rPr>
        <w:t>s</w:t>
      </w:r>
      <w:r w:rsidRPr="007C4EF2">
        <w:rPr>
          <w:rFonts w:ascii="ShangralaW90-Regular" w:eastAsia="Cambria" w:hAnsi="ShangralaW90-Regular" w:cs="Cambria"/>
          <w:color w:val="000000" w:themeColor="text1"/>
          <w:u w:color="FF0000"/>
        </w:rPr>
        <w:t xml:space="preserve"> used the output of Games-Howell under the </w:t>
      </w:r>
      <w:proofErr w:type="spellStart"/>
      <w:r w:rsidRPr="007C4EF2">
        <w:rPr>
          <w:rFonts w:ascii="ShangralaW90-Regular" w:eastAsia="Cambria" w:hAnsi="ShangralaW90-Regular" w:cs="Cambria"/>
          <w:color w:val="000000" w:themeColor="text1"/>
          <w:u w:color="FF0000"/>
        </w:rPr>
        <w:t>posthoc</w:t>
      </w:r>
      <w:proofErr w:type="spellEnd"/>
      <w:r w:rsidRPr="007C4EF2">
        <w:rPr>
          <w:rFonts w:ascii="ShangralaW90-Regular" w:eastAsia="Cambria" w:hAnsi="ShangralaW90-Regular" w:cs="Cambria"/>
          <w:color w:val="000000" w:themeColor="text1"/>
          <w:u w:color="FF0000"/>
        </w:rPr>
        <w:t xml:space="preserve"> test for better results. The output of the Games-Howell test </w:t>
      </w:r>
      <w:r w:rsidRPr="008F64CD">
        <w:rPr>
          <w:rFonts w:ascii="ShangralaW90-Regular" w:eastAsia="Cambria" w:hAnsi="ShangralaW90-Regular" w:cs="Cambria"/>
          <w:color w:val="000000" w:themeColor="text1"/>
          <w:highlight w:val="green"/>
          <w:u w:color="FF0000"/>
        </w:rPr>
        <w:t>demonstrates</w:t>
      </w:r>
      <w:r w:rsidRPr="007C4EF2">
        <w:rPr>
          <w:rFonts w:ascii="ShangralaW90-Regular" w:eastAsia="Cambria" w:hAnsi="ShangralaW90-Regular" w:cs="Cambria"/>
          <w:color w:val="000000" w:themeColor="text1"/>
          <w:u w:color="FF0000"/>
        </w:rPr>
        <w:t xml:space="preserve"> that the computed Sig value of 0.023 </w:t>
      </w:r>
      <w:r w:rsidRPr="008F64CD">
        <w:rPr>
          <w:rFonts w:ascii="ShangralaW90-Regular" w:eastAsia="Cambria" w:hAnsi="ShangralaW90-Regular" w:cs="Cambria"/>
          <w:color w:val="000000" w:themeColor="text1"/>
          <w:highlight w:val="green"/>
          <w:u w:color="FF0000"/>
        </w:rPr>
        <w:t>is</w:t>
      </w:r>
      <w:r w:rsidRPr="007C4EF2">
        <w:rPr>
          <w:rFonts w:ascii="ShangralaW90-Regular" w:eastAsia="Cambria" w:hAnsi="ShangralaW90-Regular" w:cs="Cambria"/>
          <w:color w:val="000000" w:themeColor="text1"/>
          <w:u w:color="FF0000"/>
        </w:rPr>
        <w:t xml:space="preserve"> less than 0.05 (Table 5) for comparison between Singapore's FDI in equipment, machinery, electrical and electronic industry, and Singapore's FDI in rubber and plastics industry in Riau Islands. Thus, </w:t>
      </w:r>
      <w:r w:rsidRPr="006327B0">
        <w:rPr>
          <w:rFonts w:ascii="ShangralaW90-Regular" w:eastAsia="Cambria" w:hAnsi="ShangralaW90-Regular" w:cs="Cambria"/>
          <w:color w:val="000000" w:themeColor="text1"/>
          <w:highlight w:val="green"/>
          <w:u w:color="FF0000"/>
        </w:rPr>
        <w:t>authors</w:t>
      </w:r>
      <w:r w:rsidRPr="007C4EF2">
        <w:rPr>
          <w:rFonts w:ascii="ShangralaW90-Regular" w:eastAsia="Cambria" w:hAnsi="ShangralaW90-Regular" w:cs="Cambria"/>
          <w:color w:val="000000" w:themeColor="text1"/>
          <w:u w:color="FF0000"/>
        </w:rPr>
        <w:t xml:space="preserve"> accepted </w:t>
      </w:r>
      <w:r w:rsidRPr="006327B0">
        <w:rPr>
          <w:rFonts w:ascii="ShangralaW90-Regular" w:eastAsia="Cambria" w:hAnsi="ShangralaW90-Regular" w:cs="Cambria"/>
          <w:color w:val="000000" w:themeColor="text1"/>
          <w:highlight w:val="green"/>
          <w:u w:color="FF0000"/>
        </w:rPr>
        <w:t>H</w:t>
      </w:r>
      <w:r w:rsidRPr="006327B0">
        <w:rPr>
          <w:rFonts w:ascii="ShangralaW90-Regular" w:eastAsia="Cambria" w:hAnsi="ShangralaW90-Regular" w:cs="Cambria"/>
          <w:color w:val="000000" w:themeColor="text1"/>
          <w:highlight w:val="green"/>
          <w:u w:color="FF0000"/>
          <w:vertAlign w:val="subscript"/>
        </w:rPr>
        <w:t>1</w:t>
      </w:r>
      <w:r w:rsidRPr="007C4EF2">
        <w:rPr>
          <w:rFonts w:ascii="ShangralaW90-Regular" w:eastAsia="Cambria" w:hAnsi="ShangralaW90-Regular" w:cs="Cambria"/>
          <w:color w:val="000000" w:themeColor="text1"/>
          <w:u w:color="FF0000"/>
        </w:rPr>
        <w:t xml:space="preserve">, that is Singapore’s FDI in equipment, machinery, electrical and electronic industry in Riau islands </w:t>
      </w:r>
      <w:r w:rsidRPr="006327B0">
        <w:rPr>
          <w:rFonts w:ascii="ShangralaW90-Regular" w:eastAsia="Cambria" w:hAnsi="ShangralaW90-Regular" w:cs="Cambria"/>
          <w:color w:val="000000" w:themeColor="text1"/>
          <w:highlight w:val="green"/>
          <w:u w:color="FF0000"/>
        </w:rPr>
        <w:t>is</w:t>
      </w:r>
      <w:r w:rsidRPr="007C4EF2">
        <w:rPr>
          <w:rFonts w:ascii="ShangralaW90-Regular" w:eastAsia="Cambria" w:hAnsi="ShangralaW90-Regular" w:cs="Cambria"/>
          <w:color w:val="000000" w:themeColor="text1"/>
          <w:u w:color="FF0000"/>
        </w:rPr>
        <w:t xml:space="preserve"> significantly different from Singapore’s FDI in other manufacturing </w:t>
      </w:r>
      <w:r w:rsidRPr="007C4EF2">
        <w:rPr>
          <w:rFonts w:ascii="ShangralaW90-Regular" w:eastAsia="Cambria" w:hAnsi="ShangralaW90-Regular" w:cs="Cambria"/>
          <w:color w:val="000000" w:themeColor="text1"/>
          <w:u w:color="FF0000"/>
        </w:rPr>
        <w:lastRenderedPageBreak/>
        <w:t xml:space="preserve">subsectors for at least one subsector (Hypothesis 5). The statistical results also </w:t>
      </w:r>
      <w:r w:rsidRPr="00820E75">
        <w:rPr>
          <w:rFonts w:ascii="ShangralaW90-Regular" w:eastAsia="Cambria" w:hAnsi="ShangralaW90-Regular" w:cs="Cambria"/>
          <w:color w:val="000000" w:themeColor="text1"/>
          <w:highlight w:val="green"/>
          <w:u w:color="FF0000"/>
        </w:rPr>
        <w:t>show</w:t>
      </w:r>
      <w:r w:rsidRPr="007C4EF2">
        <w:rPr>
          <w:rFonts w:ascii="ShangralaW90-Regular" w:eastAsia="Cambria" w:hAnsi="ShangralaW90-Regular" w:cs="Cambria"/>
          <w:color w:val="000000" w:themeColor="text1"/>
          <w:u w:color="FF0000"/>
        </w:rPr>
        <w:t xml:space="preserve"> that the variable of equipment, machinery, electrical and electronic industry </w:t>
      </w:r>
      <w:r w:rsidRPr="00820E75">
        <w:rPr>
          <w:rFonts w:ascii="ShangralaW90-Regular" w:eastAsia="Cambria" w:hAnsi="ShangralaW90-Regular" w:cs="Cambria"/>
          <w:color w:val="000000" w:themeColor="text1"/>
          <w:highlight w:val="green"/>
          <w:u w:color="FF0000"/>
        </w:rPr>
        <w:t>has p</w:t>
      </w:r>
      <w:r w:rsidRPr="007C4EF2">
        <w:rPr>
          <w:rFonts w:ascii="ShangralaW90-Regular" w:eastAsia="Cambria" w:hAnsi="ShangralaW90-Regular" w:cs="Cambria"/>
          <w:color w:val="000000" w:themeColor="text1"/>
          <w:u w:color="FF0000"/>
        </w:rPr>
        <w:t>ositive mean difference with variable food, motor vehicle and other transport equipment, rubber and plastics industries. It means that Singapore's investment in equipment, machinery, electrical and electronic industry was larger than its investment in food, motor vehicle and other transport equipment, rubber, and plastics industries.</w:t>
      </w:r>
    </w:p>
    <w:p w14:paraId="18DBC725" w14:textId="77777777" w:rsidR="007C4EF2" w:rsidRPr="00AF775F" w:rsidRDefault="003461B6" w:rsidP="001E5DAC">
      <w:pPr>
        <w:spacing w:after="120" w:line="276" w:lineRule="auto"/>
        <w:jc w:val="center"/>
        <w:rPr>
          <w:rFonts w:ascii="ShangralaW90-Regular" w:hAnsi="ShangralaW90-Regular"/>
          <w:sz w:val="22"/>
          <w:szCs w:val="22"/>
        </w:rPr>
      </w:pPr>
      <w:r w:rsidRPr="00AF775F">
        <w:rPr>
          <w:rFonts w:ascii="ShangralaW90-Regular" w:hAnsi="ShangralaW90-Regular"/>
          <w:sz w:val="22"/>
          <w:szCs w:val="22"/>
        </w:rPr>
        <w:t xml:space="preserve">Table 5. </w:t>
      </w:r>
      <w:r w:rsidRPr="00AF775F">
        <w:rPr>
          <w:rFonts w:ascii="ShangralaW90-Regular" w:hAnsi="ShangralaW90-Regular"/>
          <w:i/>
          <w:sz w:val="22"/>
          <w:szCs w:val="22"/>
          <w:lang w:val="id-ID"/>
        </w:rPr>
        <w:t>The output of the ANOVA Test (Post</w:t>
      </w:r>
      <w:r w:rsidRPr="00AF775F">
        <w:rPr>
          <w:rFonts w:ascii="ShangralaW90-Regular" w:hAnsi="ShangralaW90-Regular"/>
          <w:i/>
          <w:sz w:val="22"/>
          <w:szCs w:val="22"/>
        </w:rPr>
        <w:t>-</w:t>
      </w:r>
      <w:r w:rsidRPr="00AF775F">
        <w:rPr>
          <w:rFonts w:ascii="ShangralaW90-Regular" w:hAnsi="ShangralaW90-Regular"/>
          <w:i/>
          <w:sz w:val="22"/>
          <w:szCs w:val="22"/>
          <w:lang w:val="id-ID"/>
        </w:rPr>
        <w:t xml:space="preserve">Hoc Test: </w:t>
      </w:r>
      <w:r w:rsidRPr="00AF775F">
        <w:rPr>
          <w:rFonts w:ascii="ShangralaW90-Regular" w:hAnsi="ShangralaW90-Regular"/>
          <w:i/>
          <w:sz w:val="22"/>
          <w:szCs w:val="22"/>
        </w:rPr>
        <w:t>Games-Howell</w:t>
      </w:r>
      <w:r w:rsidRPr="00AF775F">
        <w:rPr>
          <w:rFonts w:ascii="ShangralaW90-Regular" w:hAnsi="ShangralaW90-Regular"/>
          <w:i/>
          <w:sz w:val="22"/>
          <w:szCs w:val="22"/>
          <w:lang w:val="id-ID"/>
        </w:rPr>
        <w:t>) for Mean Comparison of Singapore’s S</w:t>
      </w:r>
      <w:r w:rsidRPr="00AF775F">
        <w:rPr>
          <w:rFonts w:ascii="ShangralaW90-Regular" w:hAnsi="ShangralaW90-Regular"/>
          <w:i/>
          <w:sz w:val="22"/>
          <w:szCs w:val="22"/>
        </w:rPr>
        <w:t>ub-Sectoral</w:t>
      </w:r>
      <w:r w:rsidRPr="00AF775F">
        <w:rPr>
          <w:rFonts w:ascii="ShangralaW90-Regular" w:hAnsi="ShangralaW90-Regular"/>
          <w:i/>
          <w:sz w:val="22"/>
          <w:szCs w:val="22"/>
          <w:lang w:val="id-ID"/>
        </w:rPr>
        <w:t xml:space="preserve"> FDI</w:t>
      </w:r>
      <w:r w:rsidRPr="00AF775F">
        <w:rPr>
          <w:rFonts w:ascii="ShangralaW90-Regular" w:hAnsi="ShangralaW90-Regular"/>
          <w:i/>
          <w:sz w:val="22"/>
          <w:szCs w:val="22"/>
        </w:rPr>
        <w:t>s</w:t>
      </w:r>
      <w:r w:rsidRPr="00AF775F">
        <w:rPr>
          <w:rFonts w:ascii="ShangralaW90-Regular" w:hAnsi="ShangralaW90-Regular"/>
          <w:i/>
          <w:sz w:val="22"/>
          <w:szCs w:val="22"/>
          <w:lang w:val="id-ID"/>
        </w:rPr>
        <w:t xml:space="preserve"> in the Riau Islands</w:t>
      </w:r>
    </w:p>
    <w:tbl>
      <w:tblPr>
        <w:tblStyle w:val="TableGrid"/>
        <w:tblW w:w="5078" w:type="pct"/>
        <w:jc w:val="center"/>
        <w:tblLayout w:type="fixed"/>
        <w:tblLook w:val="04A0" w:firstRow="1" w:lastRow="0" w:firstColumn="1" w:lastColumn="0" w:noHBand="0" w:noVBand="1"/>
      </w:tblPr>
      <w:tblGrid>
        <w:gridCol w:w="1907"/>
        <w:gridCol w:w="2959"/>
        <w:gridCol w:w="2002"/>
        <w:gridCol w:w="1137"/>
        <w:gridCol w:w="198"/>
        <w:gridCol w:w="933"/>
        <w:gridCol w:w="15"/>
      </w:tblGrid>
      <w:tr w:rsidR="00A34600" w:rsidRPr="00412070" w14:paraId="65D23CB4" w14:textId="77777777" w:rsidTr="00A9681E">
        <w:trPr>
          <w:jc w:val="center"/>
        </w:trPr>
        <w:tc>
          <w:tcPr>
            <w:tcW w:w="1042" w:type="pct"/>
            <w:tcBorders>
              <w:bottom w:val="single" w:sz="4" w:space="0" w:color="auto"/>
              <w:right w:val="nil"/>
            </w:tcBorders>
          </w:tcPr>
          <w:p w14:paraId="42738FFD" w14:textId="77777777" w:rsidR="007C4EF2"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Treatment</w:t>
            </w:r>
          </w:p>
        </w:tc>
        <w:tc>
          <w:tcPr>
            <w:tcW w:w="1617" w:type="pct"/>
            <w:tcBorders>
              <w:left w:val="nil"/>
              <w:bottom w:val="single" w:sz="4" w:space="0" w:color="auto"/>
              <w:right w:val="nil"/>
            </w:tcBorders>
          </w:tcPr>
          <w:p w14:paraId="6667A391" w14:textId="77777777" w:rsidR="007C4EF2"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Control Group</w:t>
            </w:r>
          </w:p>
        </w:tc>
        <w:tc>
          <w:tcPr>
            <w:tcW w:w="1094" w:type="pct"/>
            <w:tcBorders>
              <w:left w:val="nil"/>
              <w:bottom w:val="single" w:sz="4" w:space="0" w:color="auto"/>
              <w:right w:val="nil"/>
            </w:tcBorders>
          </w:tcPr>
          <w:p w14:paraId="30FAD688" w14:textId="77777777" w:rsidR="007C4EF2"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 xml:space="preserve">Mean Difference </w:t>
            </w:r>
          </w:p>
          <w:p w14:paraId="2204E59E" w14:textId="77777777" w:rsidR="007C4EF2"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(Thousand USD)</w:t>
            </w:r>
          </w:p>
        </w:tc>
        <w:tc>
          <w:tcPr>
            <w:tcW w:w="729" w:type="pct"/>
            <w:gridSpan w:val="2"/>
            <w:tcBorders>
              <w:left w:val="nil"/>
              <w:bottom w:val="single" w:sz="4" w:space="0" w:color="auto"/>
              <w:right w:val="nil"/>
            </w:tcBorders>
          </w:tcPr>
          <w:p w14:paraId="30E99971" w14:textId="77777777" w:rsidR="007C4EF2"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Std Error</w:t>
            </w:r>
          </w:p>
        </w:tc>
        <w:tc>
          <w:tcPr>
            <w:tcW w:w="519" w:type="pct"/>
            <w:gridSpan w:val="2"/>
            <w:tcBorders>
              <w:left w:val="nil"/>
              <w:bottom w:val="single" w:sz="4" w:space="0" w:color="auto"/>
            </w:tcBorders>
          </w:tcPr>
          <w:p w14:paraId="0CB062FD" w14:textId="77777777" w:rsidR="007C4EF2" w:rsidRPr="00412070" w:rsidRDefault="003461B6" w:rsidP="00412070">
            <w:pPr>
              <w:jc w:val="center"/>
              <w:rPr>
                <w:rFonts w:ascii="ShangralaW90-Regular" w:hAnsi="ShangralaW90-Regular"/>
                <w:b/>
                <w:bCs/>
                <w:sz w:val="20"/>
                <w:szCs w:val="20"/>
                <w:lang w:val="id-ID"/>
              </w:rPr>
            </w:pPr>
            <w:r w:rsidRPr="00412070">
              <w:rPr>
                <w:rFonts w:ascii="ShangralaW90-Regular" w:hAnsi="ShangralaW90-Regular"/>
                <w:b/>
                <w:bCs/>
                <w:sz w:val="20"/>
                <w:szCs w:val="20"/>
                <w:lang w:val="id-ID"/>
              </w:rPr>
              <w:t>Sig</w:t>
            </w:r>
          </w:p>
        </w:tc>
      </w:tr>
      <w:tr w:rsidR="00A34600" w:rsidRPr="00412070" w14:paraId="522A7ED7" w14:textId="77777777" w:rsidTr="00A9681E">
        <w:trPr>
          <w:gridAfter w:val="1"/>
          <w:wAfter w:w="8" w:type="dxa"/>
          <w:jc w:val="center"/>
        </w:trPr>
        <w:tc>
          <w:tcPr>
            <w:tcW w:w="4992" w:type="pct"/>
            <w:gridSpan w:val="6"/>
            <w:tcBorders>
              <w:bottom w:val="nil"/>
            </w:tcBorders>
          </w:tcPr>
          <w:p w14:paraId="4D6FB974" w14:textId="77777777" w:rsidR="007C4EF2" w:rsidRPr="00412070" w:rsidRDefault="003461B6" w:rsidP="00412070">
            <w:pPr>
              <w:spacing w:after="120"/>
              <w:rPr>
                <w:rFonts w:ascii="ShangralaW90-Regular" w:hAnsi="ShangralaW90-Regular"/>
                <w:b/>
                <w:bCs/>
                <w:sz w:val="20"/>
                <w:szCs w:val="20"/>
                <w:lang w:val="id-ID"/>
              </w:rPr>
            </w:pPr>
            <w:r w:rsidRPr="00412070">
              <w:rPr>
                <w:rFonts w:ascii="ShangralaW90-Regular" w:hAnsi="ShangralaW90-Regular"/>
                <w:sz w:val="20"/>
                <w:szCs w:val="20"/>
                <w:lang w:val="id-ID"/>
              </w:rPr>
              <w:t>Singapore’s FDI in Riau Islands by Manufacturing Sub-Sector</w:t>
            </w:r>
          </w:p>
        </w:tc>
      </w:tr>
      <w:tr w:rsidR="00A34600" w:rsidRPr="00412070" w14:paraId="5629DD55" w14:textId="77777777" w:rsidTr="00A9681E">
        <w:trPr>
          <w:gridAfter w:val="1"/>
          <w:wAfter w:w="9" w:type="dxa"/>
          <w:jc w:val="center"/>
        </w:trPr>
        <w:tc>
          <w:tcPr>
            <w:tcW w:w="1042" w:type="pct"/>
            <w:vMerge w:val="restart"/>
            <w:tcBorders>
              <w:top w:val="nil"/>
              <w:bottom w:val="nil"/>
              <w:right w:val="nil"/>
            </w:tcBorders>
          </w:tcPr>
          <w:p w14:paraId="4350E6EE" w14:textId="77777777" w:rsidR="007C4EF2" w:rsidRPr="00412070" w:rsidRDefault="003461B6" w:rsidP="00412070">
            <w:pPr>
              <w:spacing w:after="120"/>
              <w:rPr>
                <w:rFonts w:ascii="ShangralaW90-Regular" w:hAnsi="ShangralaW90-Regular"/>
                <w:sz w:val="20"/>
                <w:szCs w:val="20"/>
              </w:rPr>
            </w:pPr>
            <w:r w:rsidRPr="00412070">
              <w:rPr>
                <w:rFonts w:ascii="ShangralaW90-Regular" w:hAnsi="ShangralaW90-Regular"/>
                <w:sz w:val="20"/>
                <w:szCs w:val="20"/>
                <w:lang w:val="id-ID"/>
              </w:rPr>
              <w:t xml:space="preserve">Medical Press. &amp; Optical Instruments, Watches &amp; Clock, Machinery, </w:t>
            </w:r>
            <w:r w:rsidRPr="00412070">
              <w:rPr>
                <w:rFonts w:ascii="ShangralaW90-Regular" w:hAnsi="ShangralaW90-Regular"/>
                <w:sz w:val="20"/>
                <w:szCs w:val="20"/>
              </w:rPr>
              <w:t xml:space="preserve">electrical </w:t>
            </w:r>
            <w:r w:rsidRPr="00412070">
              <w:rPr>
                <w:rFonts w:ascii="ShangralaW90-Regular" w:hAnsi="ShangralaW90-Regular"/>
                <w:sz w:val="20"/>
                <w:szCs w:val="20"/>
                <w:lang w:val="id-ID"/>
              </w:rPr>
              <w:t>and Electronic Industry</w:t>
            </w:r>
            <w:r w:rsidRPr="00412070">
              <w:rPr>
                <w:rFonts w:ascii="ShangralaW90-Regular" w:hAnsi="ShangralaW90-Regular"/>
                <w:sz w:val="20"/>
                <w:szCs w:val="20"/>
              </w:rPr>
              <w:t xml:space="preserve"> (n: 27)</w:t>
            </w:r>
          </w:p>
        </w:tc>
        <w:tc>
          <w:tcPr>
            <w:tcW w:w="1617" w:type="pct"/>
            <w:tcBorders>
              <w:top w:val="nil"/>
              <w:left w:val="nil"/>
              <w:bottom w:val="nil"/>
              <w:right w:val="nil"/>
            </w:tcBorders>
          </w:tcPr>
          <w:p w14:paraId="11B816B9"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Metal Industry</w:t>
            </w:r>
            <w:r w:rsidRPr="00412070">
              <w:rPr>
                <w:rFonts w:ascii="ShangralaW90-Regular" w:hAnsi="ShangralaW90-Regular"/>
                <w:sz w:val="20"/>
                <w:szCs w:val="20"/>
              </w:rPr>
              <w:t xml:space="preserve"> (n: 21)</w:t>
            </w:r>
          </w:p>
        </w:tc>
        <w:tc>
          <w:tcPr>
            <w:tcW w:w="1094" w:type="pct"/>
            <w:tcBorders>
              <w:top w:val="nil"/>
              <w:left w:val="nil"/>
              <w:bottom w:val="nil"/>
              <w:right w:val="nil"/>
            </w:tcBorders>
          </w:tcPr>
          <w:p w14:paraId="5E4C7E03"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-60228.07</w:t>
            </w:r>
          </w:p>
        </w:tc>
        <w:tc>
          <w:tcPr>
            <w:tcW w:w="621" w:type="pct"/>
            <w:tcBorders>
              <w:top w:val="nil"/>
              <w:left w:val="nil"/>
              <w:bottom w:val="nil"/>
              <w:right w:val="nil"/>
            </w:tcBorders>
          </w:tcPr>
          <w:p w14:paraId="378B2BE1"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43191.94</w:t>
            </w:r>
          </w:p>
        </w:tc>
        <w:tc>
          <w:tcPr>
            <w:tcW w:w="617" w:type="pct"/>
            <w:gridSpan w:val="2"/>
            <w:tcBorders>
              <w:top w:val="nil"/>
              <w:left w:val="nil"/>
              <w:bottom w:val="nil"/>
            </w:tcBorders>
          </w:tcPr>
          <w:p w14:paraId="711F3B11"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.730</w:t>
            </w:r>
          </w:p>
        </w:tc>
      </w:tr>
      <w:tr w:rsidR="00A34600" w:rsidRPr="00412070" w14:paraId="5CDBEC98" w14:textId="77777777" w:rsidTr="00A9681E">
        <w:trPr>
          <w:gridAfter w:val="1"/>
          <w:wAfter w:w="9" w:type="dxa"/>
          <w:jc w:val="center"/>
        </w:trPr>
        <w:tc>
          <w:tcPr>
            <w:tcW w:w="1042" w:type="pct"/>
            <w:vMerge/>
            <w:tcBorders>
              <w:top w:val="nil"/>
              <w:bottom w:val="nil"/>
              <w:right w:val="nil"/>
            </w:tcBorders>
          </w:tcPr>
          <w:p w14:paraId="1F1CDDEC" w14:textId="77777777" w:rsidR="007C4EF2" w:rsidRPr="00412070" w:rsidRDefault="007C4EF2" w:rsidP="00412070">
            <w:pPr>
              <w:rPr>
                <w:rFonts w:ascii="ShangralaW90-Regular" w:hAnsi="ShangralaW90-Regular"/>
                <w:sz w:val="20"/>
                <w:szCs w:val="20"/>
              </w:rPr>
            </w:pPr>
          </w:p>
        </w:tc>
        <w:tc>
          <w:tcPr>
            <w:tcW w:w="1617" w:type="pct"/>
            <w:tcBorders>
              <w:top w:val="nil"/>
              <w:left w:val="nil"/>
              <w:bottom w:val="nil"/>
              <w:right w:val="nil"/>
            </w:tcBorders>
          </w:tcPr>
          <w:p w14:paraId="317A6A9F"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Food Industry</w:t>
            </w:r>
            <w:r w:rsidRPr="00412070">
              <w:rPr>
                <w:rFonts w:ascii="ShangralaW90-Regular" w:hAnsi="ShangralaW90-Regular"/>
                <w:sz w:val="20"/>
                <w:szCs w:val="20"/>
              </w:rPr>
              <w:t xml:space="preserve"> (n: 11)</w:t>
            </w:r>
          </w:p>
        </w:tc>
        <w:tc>
          <w:tcPr>
            <w:tcW w:w="1094" w:type="pct"/>
            <w:tcBorders>
              <w:top w:val="nil"/>
              <w:left w:val="nil"/>
              <w:bottom w:val="nil"/>
              <w:right w:val="nil"/>
            </w:tcBorders>
          </w:tcPr>
          <w:p w14:paraId="40591EF8"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1201.69</w:t>
            </w:r>
          </w:p>
        </w:tc>
        <w:tc>
          <w:tcPr>
            <w:tcW w:w="621" w:type="pct"/>
            <w:tcBorders>
              <w:top w:val="nil"/>
              <w:left w:val="nil"/>
              <w:bottom w:val="nil"/>
              <w:right w:val="nil"/>
            </w:tcBorders>
          </w:tcPr>
          <w:p w14:paraId="3605D554"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14732.85</w:t>
            </w:r>
          </w:p>
        </w:tc>
        <w:tc>
          <w:tcPr>
            <w:tcW w:w="617" w:type="pct"/>
            <w:gridSpan w:val="2"/>
            <w:tcBorders>
              <w:top w:val="nil"/>
              <w:left w:val="nil"/>
              <w:bottom w:val="nil"/>
            </w:tcBorders>
          </w:tcPr>
          <w:p w14:paraId="18D5CB10"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1.000</w:t>
            </w:r>
          </w:p>
        </w:tc>
      </w:tr>
      <w:tr w:rsidR="00A34600" w:rsidRPr="00412070" w14:paraId="7E70B154" w14:textId="77777777" w:rsidTr="00A9681E">
        <w:trPr>
          <w:gridAfter w:val="1"/>
          <w:wAfter w:w="9" w:type="dxa"/>
          <w:jc w:val="center"/>
        </w:trPr>
        <w:tc>
          <w:tcPr>
            <w:tcW w:w="1042" w:type="pct"/>
            <w:vMerge/>
            <w:tcBorders>
              <w:top w:val="nil"/>
              <w:bottom w:val="nil"/>
              <w:right w:val="nil"/>
            </w:tcBorders>
          </w:tcPr>
          <w:p w14:paraId="7C105D81" w14:textId="77777777" w:rsidR="007C4EF2" w:rsidRPr="00412070" w:rsidRDefault="007C4EF2" w:rsidP="00412070">
            <w:pPr>
              <w:rPr>
                <w:rFonts w:ascii="ShangralaW90-Regular" w:hAnsi="ShangralaW90-Regular"/>
                <w:sz w:val="20"/>
                <w:szCs w:val="20"/>
              </w:rPr>
            </w:pPr>
          </w:p>
        </w:tc>
        <w:tc>
          <w:tcPr>
            <w:tcW w:w="1617" w:type="pct"/>
            <w:tcBorders>
              <w:top w:val="nil"/>
              <w:left w:val="nil"/>
              <w:bottom w:val="nil"/>
              <w:right w:val="nil"/>
            </w:tcBorders>
          </w:tcPr>
          <w:p w14:paraId="1AE01959"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Chemical and Pharmaceutical Industry</w:t>
            </w:r>
            <w:r w:rsidRPr="00412070">
              <w:rPr>
                <w:rFonts w:ascii="ShangralaW90-Regular" w:hAnsi="ShangralaW90-Regular"/>
                <w:sz w:val="20"/>
                <w:szCs w:val="20"/>
              </w:rPr>
              <w:t xml:space="preserve"> (n: 15)</w:t>
            </w:r>
          </w:p>
        </w:tc>
        <w:tc>
          <w:tcPr>
            <w:tcW w:w="1094" w:type="pct"/>
            <w:tcBorders>
              <w:top w:val="nil"/>
              <w:left w:val="nil"/>
              <w:bottom w:val="nil"/>
              <w:right w:val="nil"/>
            </w:tcBorders>
          </w:tcPr>
          <w:p w14:paraId="22392BFF"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-2307.39</w:t>
            </w:r>
          </w:p>
        </w:tc>
        <w:tc>
          <w:tcPr>
            <w:tcW w:w="621" w:type="pct"/>
            <w:tcBorders>
              <w:top w:val="nil"/>
              <w:left w:val="nil"/>
              <w:bottom w:val="nil"/>
              <w:right w:val="nil"/>
            </w:tcBorders>
          </w:tcPr>
          <w:p w14:paraId="0659A61D"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10945.12</w:t>
            </w:r>
          </w:p>
        </w:tc>
        <w:tc>
          <w:tcPr>
            <w:tcW w:w="617" w:type="pct"/>
            <w:gridSpan w:val="2"/>
            <w:tcBorders>
              <w:top w:val="nil"/>
              <w:left w:val="nil"/>
              <w:bottom w:val="nil"/>
            </w:tcBorders>
          </w:tcPr>
          <w:p w14:paraId="38465D29"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1.000</w:t>
            </w:r>
          </w:p>
        </w:tc>
      </w:tr>
      <w:tr w:rsidR="00A34600" w:rsidRPr="00412070" w14:paraId="012FC12F" w14:textId="77777777" w:rsidTr="00A9681E">
        <w:trPr>
          <w:gridAfter w:val="1"/>
          <w:wAfter w:w="9" w:type="dxa"/>
          <w:jc w:val="center"/>
        </w:trPr>
        <w:tc>
          <w:tcPr>
            <w:tcW w:w="1042" w:type="pct"/>
            <w:vMerge/>
            <w:tcBorders>
              <w:top w:val="nil"/>
              <w:bottom w:val="nil"/>
              <w:right w:val="nil"/>
            </w:tcBorders>
          </w:tcPr>
          <w:p w14:paraId="444FCFA3" w14:textId="77777777" w:rsidR="007C4EF2" w:rsidRPr="00412070" w:rsidRDefault="007C4EF2" w:rsidP="00412070">
            <w:pPr>
              <w:rPr>
                <w:rFonts w:ascii="ShangralaW90-Regular" w:hAnsi="ShangralaW90-Regular"/>
                <w:sz w:val="20"/>
                <w:szCs w:val="20"/>
              </w:rPr>
            </w:pPr>
          </w:p>
        </w:tc>
        <w:tc>
          <w:tcPr>
            <w:tcW w:w="1617" w:type="pct"/>
            <w:tcBorders>
              <w:top w:val="nil"/>
              <w:left w:val="nil"/>
              <w:bottom w:val="nil"/>
              <w:right w:val="nil"/>
            </w:tcBorders>
          </w:tcPr>
          <w:p w14:paraId="44DD7E40"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Motor</w:t>
            </w:r>
            <w:r w:rsidRPr="00412070">
              <w:rPr>
                <w:rFonts w:ascii="ShangralaW90-Regular" w:hAnsi="ShangralaW90-Regular"/>
                <w:sz w:val="20"/>
                <w:szCs w:val="20"/>
              </w:rPr>
              <w:t xml:space="preserve"> </w:t>
            </w:r>
            <w:r w:rsidRPr="00412070">
              <w:rPr>
                <w:rFonts w:ascii="ShangralaW90-Regular" w:hAnsi="ShangralaW90-Regular"/>
                <w:sz w:val="20"/>
                <w:szCs w:val="20"/>
                <w:lang w:val="id-ID"/>
              </w:rPr>
              <w:t>Vehicles</w:t>
            </w:r>
            <w:r w:rsidRPr="00412070">
              <w:rPr>
                <w:rFonts w:ascii="ShangralaW90-Regular" w:hAnsi="ShangralaW90-Regular"/>
                <w:sz w:val="20"/>
                <w:szCs w:val="20"/>
              </w:rPr>
              <w:t xml:space="preserve"> and </w:t>
            </w:r>
            <w:r w:rsidRPr="00412070">
              <w:rPr>
                <w:rFonts w:ascii="ShangralaW90-Regular" w:hAnsi="ShangralaW90-Regular"/>
                <w:sz w:val="20"/>
                <w:szCs w:val="20"/>
                <w:lang w:val="id-ID"/>
              </w:rPr>
              <w:t>Other</w:t>
            </w:r>
            <w:r w:rsidRPr="00412070">
              <w:rPr>
                <w:rFonts w:ascii="ShangralaW90-Regular" w:hAnsi="ShangralaW90-Regular"/>
                <w:sz w:val="20"/>
                <w:szCs w:val="20"/>
              </w:rPr>
              <w:t xml:space="preserve"> </w:t>
            </w:r>
            <w:r w:rsidRPr="00412070">
              <w:rPr>
                <w:rFonts w:ascii="ShangralaW90-Regular" w:hAnsi="ShangralaW90-Regular"/>
                <w:sz w:val="20"/>
                <w:szCs w:val="20"/>
                <w:lang w:val="id-ID"/>
              </w:rPr>
              <w:t>Transport Equipment</w:t>
            </w:r>
            <w:r w:rsidRPr="00412070">
              <w:rPr>
                <w:rFonts w:ascii="ShangralaW90-Regular" w:hAnsi="ShangralaW90-Regular"/>
                <w:sz w:val="20"/>
                <w:szCs w:val="20"/>
              </w:rPr>
              <w:t xml:space="preserve"> </w:t>
            </w:r>
            <w:r w:rsidRPr="00412070">
              <w:rPr>
                <w:rFonts w:ascii="ShangralaW90-Regular" w:hAnsi="ShangralaW90-Regular"/>
                <w:sz w:val="20"/>
                <w:szCs w:val="20"/>
                <w:lang w:val="id-ID"/>
              </w:rPr>
              <w:t>Industry</w:t>
            </w:r>
            <w:r w:rsidRPr="00412070">
              <w:rPr>
                <w:rFonts w:ascii="ShangralaW90-Regular" w:hAnsi="ShangralaW90-Regular"/>
                <w:sz w:val="20"/>
                <w:szCs w:val="20"/>
              </w:rPr>
              <w:t xml:space="preserve"> (n: 24)</w:t>
            </w:r>
          </w:p>
        </w:tc>
        <w:tc>
          <w:tcPr>
            <w:tcW w:w="1094" w:type="pct"/>
            <w:tcBorders>
              <w:top w:val="nil"/>
              <w:left w:val="nil"/>
              <w:bottom w:val="nil"/>
              <w:right w:val="nil"/>
            </w:tcBorders>
          </w:tcPr>
          <w:p w14:paraId="00413585"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871.27</w:t>
            </w:r>
          </w:p>
        </w:tc>
        <w:tc>
          <w:tcPr>
            <w:tcW w:w="621" w:type="pct"/>
            <w:tcBorders>
              <w:top w:val="nil"/>
              <w:left w:val="nil"/>
              <w:bottom w:val="nil"/>
              <w:right w:val="nil"/>
            </w:tcBorders>
          </w:tcPr>
          <w:p w14:paraId="60AEE1BE"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4947.41</w:t>
            </w:r>
          </w:p>
        </w:tc>
        <w:tc>
          <w:tcPr>
            <w:tcW w:w="617" w:type="pct"/>
            <w:gridSpan w:val="2"/>
            <w:tcBorders>
              <w:top w:val="nil"/>
              <w:left w:val="nil"/>
              <w:bottom w:val="nil"/>
            </w:tcBorders>
          </w:tcPr>
          <w:p w14:paraId="3017193B"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1.000</w:t>
            </w:r>
          </w:p>
        </w:tc>
      </w:tr>
      <w:tr w:rsidR="00A34600" w:rsidRPr="00412070" w14:paraId="6DB368B2" w14:textId="77777777" w:rsidTr="00A9681E">
        <w:trPr>
          <w:gridAfter w:val="1"/>
          <w:wAfter w:w="9" w:type="dxa"/>
          <w:jc w:val="center"/>
        </w:trPr>
        <w:tc>
          <w:tcPr>
            <w:tcW w:w="1042" w:type="pct"/>
            <w:vMerge/>
            <w:tcBorders>
              <w:top w:val="nil"/>
              <w:bottom w:val="single" w:sz="4" w:space="0" w:color="auto"/>
              <w:right w:val="nil"/>
            </w:tcBorders>
          </w:tcPr>
          <w:p w14:paraId="2012C5E6" w14:textId="77777777" w:rsidR="007C4EF2" w:rsidRPr="00412070" w:rsidRDefault="007C4EF2" w:rsidP="00412070">
            <w:pPr>
              <w:rPr>
                <w:rFonts w:ascii="ShangralaW90-Regular" w:hAnsi="ShangralaW90-Regular"/>
                <w:sz w:val="20"/>
                <w:szCs w:val="20"/>
              </w:rPr>
            </w:pPr>
          </w:p>
        </w:tc>
        <w:tc>
          <w:tcPr>
            <w:tcW w:w="1617" w:type="pct"/>
            <w:tcBorders>
              <w:top w:val="nil"/>
              <w:left w:val="nil"/>
              <w:bottom w:val="single" w:sz="4" w:space="0" w:color="auto"/>
              <w:right w:val="nil"/>
            </w:tcBorders>
          </w:tcPr>
          <w:p w14:paraId="0B3EC746"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rPr>
              <w:t>Rubber and Plastics Industry (n: 25)</w:t>
            </w:r>
          </w:p>
        </w:tc>
        <w:tc>
          <w:tcPr>
            <w:tcW w:w="1094" w:type="pct"/>
            <w:tcBorders>
              <w:top w:val="nil"/>
              <w:left w:val="nil"/>
              <w:bottom w:val="single" w:sz="4" w:space="0" w:color="auto"/>
              <w:right w:val="nil"/>
            </w:tcBorders>
          </w:tcPr>
          <w:p w14:paraId="026F88AF"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11776.54*</w:t>
            </w:r>
          </w:p>
        </w:tc>
        <w:tc>
          <w:tcPr>
            <w:tcW w:w="621" w:type="pct"/>
            <w:tcBorders>
              <w:top w:val="nil"/>
              <w:left w:val="nil"/>
              <w:bottom w:val="single" w:sz="4" w:space="0" w:color="auto"/>
              <w:right w:val="nil"/>
            </w:tcBorders>
          </w:tcPr>
          <w:p w14:paraId="0BDB5EE8"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3590.48</w:t>
            </w:r>
          </w:p>
        </w:tc>
        <w:tc>
          <w:tcPr>
            <w:tcW w:w="617" w:type="pct"/>
            <w:gridSpan w:val="2"/>
            <w:tcBorders>
              <w:top w:val="nil"/>
              <w:left w:val="nil"/>
              <w:bottom w:val="single" w:sz="4" w:space="0" w:color="auto"/>
            </w:tcBorders>
          </w:tcPr>
          <w:p w14:paraId="79D4A463"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.023</w:t>
            </w:r>
          </w:p>
        </w:tc>
      </w:tr>
      <w:tr w:rsidR="00A34600" w:rsidRPr="00412070" w14:paraId="06042598" w14:textId="77777777" w:rsidTr="00A9681E">
        <w:trPr>
          <w:gridAfter w:val="1"/>
          <w:wAfter w:w="8" w:type="dxa"/>
          <w:jc w:val="center"/>
        </w:trPr>
        <w:tc>
          <w:tcPr>
            <w:tcW w:w="4992" w:type="pct"/>
            <w:gridSpan w:val="6"/>
            <w:tcBorders>
              <w:bottom w:val="nil"/>
            </w:tcBorders>
          </w:tcPr>
          <w:p w14:paraId="16C45BD8" w14:textId="77777777" w:rsidR="007C4EF2" w:rsidRPr="00412070" w:rsidRDefault="003461B6" w:rsidP="00412070">
            <w:pPr>
              <w:spacing w:after="120"/>
              <w:rPr>
                <w:rFonts w:ascii="ShangralaW90-Regular" w:hAnsi="ShangralaW90-Regular"/>
                <w:b/>
                <w:bCs/>
                <w:sz w:val="20"/>
                <w:szCs w:val="20"/>
              </w:rPr>
            </w:pPr>
            <w:r w:rsidRPr="00412070">
              <w:rPr>
                <w:rFonts w:ascii="ShangralaW90-Regular" w:hAnsi="ShangralaW90-Regular"/>
                <w:sz w:val="20"/>
                <w:szCs w:val="20"/>
                <w:lang w:val="id-ID"/>
              </w:rPr>
              <w:t>Singapore’s FDI in Riau Islands by Tertiary Sub-Sector</w:t>
            </w:r>
            <w:r w:rsidRPr="00412070">
              <w:rPr>
                <w:rFonts w:ascii="ShangralaW90-Regular" w:hAnsi="ShangralaW90-Regular"/>
                <w:sz w:val="20"/>
                <w:szCs w:val="20"/>
              </w:rPr>
              <w:t xml:space="preserve"> </w:t>
            </w:r>
          </w:p>
        </w:tc>
      </w:tr>
      <w:tr w:rsidR="00A34600" w:rsidRPr="00412070" w14:paraId="61C24953" w14:textId="77777777" w:rsidTr="00A9681E">
        <w:trPr>
          <w:gridAfter w:val="1"/>
          <w:wAfter w:w="9" w:type="dxa"/>
          <w:trHeight w:val="506"/>
          <w:jc w:val="center"/>
        </w:trPr>
        <w:tc>
          <w:tcPr>
            <w:tcW w:w="1042" w:type="pct"/>
            <w:vMerge w:val="restart"/>
            <w:tcBorders>
              <w:top w:val="nil"/>
              <w:bottom w:val="nil"/>
              <w:right w:val="nil"/>
            </w:tcBorders>
          </w:tcPr>
          <w:p w14:paraId="6822ED91"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rPr>
              <w:t>Logistics</w:t>
            </w:r>
            <w:r w:rsidRPr="00412070">
              <w:rPr>
                <w:rFonts w:ascii="ShangralaW90-Regular" w:hAnsi="ShangralaW90-Regular"/>
                <w:sz w:val="20"/>
                <w:szCs w:val="20"/>
                <w:lang w:val="id-ID"/>
              </w:rPr>
              <w:t xml:space="preserve"> &amp; Communication</w:t>
            </w:r>
            <w:r w:rsidRPr="00412070">
              <w:rPr>
                <w:rFonts w:ascii="ShangralaW90-Regular" w:hAnsi="ShangralaW90-Regular"/>
                <w:sz w:val="20"/>
                <w:szCs w:val="20"/>
              </w:rPr>
              <w:t xml:space="preserve"> (n: 13)</w:t>
            </w:r>
          </w:p>
        </w:tc>
        <w:tc>
          <w:tcPr>
            <w:tcW w:w="1617" w:type="pct"/>
            <w:tcBorders>
              <w:top w:val="nil"/>
              <w:left w:val="nil"/>
              <w:bottom w:val="nil"/>
              <w:right w:val="nil"/>
            </w:tcBorders>
          </w:tcPr>
          <w:p w14:paraId="1F00BA1B" w14:textId="77777777" w:rsidR="007C4EF2" w:rsidRPr="00412070" w:rsidRDefault="003461B6" w:rsidP="00412070">
            <w:pPr>
              <w:rPr>
                <w:rFonts w:ascii="ShangralaW90-Regular" w:hAnsi="ShangralaW90-Regular"/>
                <w:sz w:val="20"/>
                <w:szCs w:val="20"/>
                <w:lang w:val="id-ID"/>
              </w:rPr>
            </w:pPr>
            <w:r w:rsidRPr="00412070">
              <w:rPr>
                <w:rFonts w:ascii="ShangralaW90-Regular" w:hAnsi="ShangralaW90-Regular"/>
                <w:sz w:val="20"/>
                <w:szCs w:val="20"/>
                <w:lang w:val="id-ID"/>
              </w:rPr>
              <w:t xml:space="preserve">Hotel &amp; Restaurant </w:t>
            </w:r>
            <w:r w:rsidRPr="00412070">
              <w:rPr>
                <w:rFonts w:ascii="ShangralaW90-Regular" w:hAnsi="ShangralaW90-Regular"/>
                <w:sz w:val="20"/>
                <w:szCs w:val="20"/>
              </w:rPr>
              <w:t>(n: 16)</w:t>
            </w:r>
          </w:p>
        </w:tc>
        <w:tc>
          <w:tcPr>
            <w:tcW w:w="1094" w:type="pct"/>
            <w:tcBorders>
              <w:top w:val="nil"/>
              <w:left w:val="nil"/>
              <w:bottom w:val="nil"/>
              <w:right w:val="nil"/>
            </w:tcBorders>
          </w:tcPr>
          <w:p w14:paraId="79F05CE5"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-47587.94*</w:t>
            </w:r>
          </w:p>
        </w:tc>
        <w:tc>
          <w:tcPr>
            <w:tcW w:w="621" w:type="pct"/>
            <w:tcBorders>
              <w:top w:val="nil"/>
              <w:left w:val="nil"/>
              <w:bottom w:val="nil"/>
              <w:right w:val="nil"/>
            </w:tcBorders>
          </w:tcPr>
          <w:p w14:paraId="1528BB26"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18615.73</w:t>
            </w:r>
          </w:p>
        </w:tc>
        <w:tc>
          <w:tcPr>
            <w:tcW w:w="617" w:type="pct"/>
            <w:gridSpan w:val="2"/>
            <w:tcBorders>
              <w:top w:val="nil"/>
              <w:left w:val="nil"/>
              <w:bottom w:val="nil"/>
            </w:tcBorders>
          </w:tcPr>
          <w:p w14:paraId="56A06151"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.045</w:t>
            </w:r>
          </w:p>
        </w:tc>
      </w:tr>
      <w:tr w:rsidR="00A34600" w:rsidRPr="00412070" w14:paraId="26597857" w14:textId="77777777" w:rsidTr="00A9681E">
        <w:trPr>
          <w:gridAfter w:val="1"/>
          <w:wAfter w:w="9" w:type="dxa"/>
          <w:trHeight w:val="604"/>
          <w:jc w:val="center"/>
        </w:trPr>
        <w:tc>
          <w:tcPr>
            <w:tcW w:w="1042" w:type="pct"/>
            <w:vMerge/>
            <w:tcBorders>
              <w:top w:val="nil"/>
              <w:right w:val="nil"/>
            </w:tcBorders>
          </w:tcPr>
          <w:p w14:paraId="7583DA61" w14:textId="77777777" w:rsidR="007C4EF2" w:rsidRPr="00412070" w:rsidRDefault="007C4EF2" w:rsidP="00412070">
            <w:pPr>
              <w:rPr>
                <w:rFonts w:ascii="ShangralaW90-Regular" w:hAnsi="ShangralaW90-Regular"/>
                <w:sz w:val="20"/>
                <w:szCs w:val="20"/>
              </w:rPr>
            </w:pPr>
          </w:p>
        </w:tc>
        <w:tc>
          <w:tcPr>
            <w:tcW w:w="1617" w:type="pct"/>
            <w:tcBorders>
              <w:top w:val="nil"/>
              <w:left w:val="nil"/>
              <w:right w:val="nil"/>
            </w:tcBorders>
          </w:tcPr>
          <w:p w14:paraId="5E5DA449" w14:textId="77777777" w:rsidR="007C4EF2" w:rsidRPr="00412070" w:rsidRDefault="003461B6" w:rsidP="00412070">
            <w:pPr>
              <w:rPr>
                <w:rFonts w:ascii="ShangralaW90-Regular" w:hAnsi="ShangralaW90-Regular"/>
                <w:sz w:val="20"/>
                <w:szCs w:val="20"/>
              </w:rPr>
            </w:pPr>
            <w:r w:rsidRPr="00412070">
              <w:rPr>
                <w:rFonts w:ascii="ShangralaW90-Regular" w:hAnsi="ShangralaW90-Regular"/>
                <w:sz w:val="20"/>
                <w:szCs w:val="20"/>
                <w:lang w:val="id-ID"/>
              </w:rPr>
              <w:t>Real Estate, Ind. Estate &amp; Business Activities</w:t>
            </w:r>
            <w:r w:rsidRPr="00412070">
              <w:rPr>
                <w:rFonts w:ascii="ShangralaW90-Regular" w:hAnsi="ShangralaW90-Regular"/>
                <w:sz w:val="20"/>
                <w:szCs w:val="20"/>
              </w:rPr>
              <w:t xml:space="preserve"> (n: 14)</w:t>
            </w:r>
          </w:p>
        </w:tc>
        <w:tc>
          <w:tcPr>
            <w:tcW w:w="1094" w:type="pct"/>
            <w:tcBorders>
              <w:top w:val="nil"/>
              <w:left w:val="nil"/>
              <w:right w:val="nil"/>
            </w:tcBorders>
          </w:tcPr>
          <w:p w14:paraId="497477D5"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-21517.03</w:t>
            </w:r>
          </w:p>
        </w:tc>
        <w:tc>
          <w:tcPr>
            <w:tcW w:w="621" w:type="pct"/>
            <w:tcBorders>
              <w:top w:val="nil"/>
              <w:left w:val="nil"/>
              <w:right w:val="nil"/>
            </w:tcBorders>
          </w:tcPr>
          <w:p w14:paraId="14261520"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26873.94</w:t>
            </w:r>
          </w:p>
        </w:tc>
        <w:tc>
          <w:tcPr>
            <w:tcW w:w="617" w:type="pct"/>
            <w:gridSpan w:val="2"/>
            <w:tcBorders>
              <w:top w:val="nil"/>
              <w:left w:val="nil"/>
            </w:tcBorders>
          </w:tcPr>
          <w:p w14:paraId="140531F0" w14:textId="77777777" w:rsidR="007C4EF2" w:rsidRPr="00412070" w:rsidRDefault="003461B6" w:rsidP="00412070">
            <w:pPr>
              <w:jc w:val="right"/>
              <w:rPr>
                <w:rFonts w:ascii="ShangralaW90-Regular" w:hAnsi="ShangralaW90-Regular"/>
                <w:sz w:val="20"/>
                <w:szCs w:val="20"/>
              </w:rPr>
            </w:pPr>
            <w:r w:rsidRPr="00412070">
              <w:rPr>
                <w:rFonts w:ascii="ShangralaW90-Regular" w:hAnsi="ShangralaW90-Regular"/>
                <w:sz w:val="20"/>
                <w:szCs w:val="20"/>
              </w:rPr>
              <w:t>.708</w:t>
            </w:r>
          </w:p>
        </w:tc>
      </w:tr>
    </w:tbl>
    <w:p w14:paraId="516A6544" w14:textId="77777777" w:rsidR="001E5DAC" w:rsidRDefault="003461B6" w:rsidP="001E5DAC">
      <w:pPr>
        <w:spacing w:after="360" w:line="400" w:lineRule="atLeast"/>
        <w:rPr>
          <w:rFonts w:ascii="ShangralaW90-Regular" w:hAnsi="ShangralaW90-Regular"/>
          <w:sz w:val="22"/>
          <w:szCs w:val="22"/>
          <w:lang w:val="id-ID"/>
        </w:rPr>
      </w:pPr>
      <w:r w:rsidRPr="001E5DAC">
        <w:rPr>
          <w:rFonts w:ascii="ShangralaW90-Regular" w:hAnsi="ShangralaW90-Regular"/>
          <w:sz w:val="22"/>
          <w:szCs w:val="22"/>
          <w:lang w:val="id-ID"/>
        </w:rPr>
        <w:t>*The mean difference is significant at the 0.05 level</w:t>
      </w:r>
    </w:p>
    <w:p w14:paraId="79BBBC5D" w14:textId="77777777" w:rsidR="001E5DAC" w:rsidRPr="003314CA" w:rsidRDefault="003461B6" w:rsidP="003314CA">
      <w:pPr>
        <w:spacing w:line="276" w:lineRule="auto"/>
        <w:ind w:firstLine="540"/>
        <w:jc w:val="both"/>
        <w:rPr>
          <w:rFonts w:ascii="ShangralaW90-Regular" w:hAnsi="ShangralaW90-Regular"/>
          <w:sz w:val="22"/>
          <w:szCs w:val="22"/>
        </w:rPr>
      </w:pPr>
      <w:r w:rsidRPr="003314CA">
        <w:rPr>
          <w:rFonts w:ascii="ShangralaW90-Regular" w:hAnsi="ShangralaW90-Regular"/>
          <w:sz w:val="22"/>
          <w:szCs w:val="22"/>
        </w:rPr>
        <w:t xml:space="preserve">Based on an analysis of manufacturing sub-sectors, this research did not confirm the previous findings from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{"citationItems":[{"id":"ITEM-1","itemData":{"author":[{"dropping-particle":"","family":"Grunsven, L., &amp; Hutchinson, F.E.","given":"","non-dropping-particle":"van","parse-names":false,"suffix":""}],"container-title":"ISEAS Yusof Ishak Institute","id":"ITEM-1","issued":{"date-parts":[["2014"]]},"title":"The Evolution of the Electronics Industry in the SIJORI Cross-Border Region","type":"article-journal"},"uris":["http://www.mendeley.com/documents/?uuid=477396cd-4637-42bb-9f09-9ada4125bcac"]},{"id":"ITEM-2","itemData":{"DOI":"10.1007/s10708-015-9692-9","ISSN":"15729893","abstract":"While extensively studied in the 1990s, research on the electrical and electronics (E&amp;E) industry in Singapore and the proximate areas of Indonesia has dwindled. Focusing on the E&amp;E sector in the island of Batam (Riau Islands Province, Indonesia), we examine the industry’s recent evolution, in particular its ‘robustness’—its durability and capacity to adapt to adverse events. As to the explanatory factors accounting for its robustness, we evaluate the role of agency as opposed to conventional approaches that focus on structure. Our findings show that, in Batam, the E&amp;E industry’s robustness has started to suffer. While there is evidence that structural factors are at work, we argue that agency in the form of institutionally-embedded perspectives and behaviour of actors at the sub-national level also plays a role. Because the promotion of economic diversification through investment in new sectors is easier and more lucrative than upgrading and deepening of firm capabilities in existing sectors, agents privilege the former at the cost of the latter. At the end of the day, regional resilience is undermined, rather than reinforced as evinced by the recent atrophy of Batam’s E&amp;E industry.","author":[{"dropping-particle":"","family":"Grunsven, L., &amp; Hutchinson, F.E.","given":"","non-dropping-particle":"van","parse-names":false,"suffix":""}],"container-title":"GeoJournal","id":"ITEM-2","issue":"3","issued":{"date-parts":[["2017"]]},"page":"475-492","publisher":"Springer Netherlands","title":"The evolution of the electronics industry on Batam Island (Riau Islands Province, Indonesia): an evolutionary trajectory contributing to regional resilience?","type":"article-journal","volume":"82"},"uris":["http://www.mendeley.com/documents/?uuid=5effdbde-9698-4796-bb1d-57c729b10488"]}],"mendeley":{"formattedCitation":"(van Grunsven, L., &amp; Hutchinson, F.E., 2014, 2017)","manualFormatting":"van Grunsven and Hutchinson (2014, 2017)","plainTextFormattedCitation":"(van Grunsven, L., &amp; Hutchinson, F.E., 2014, 2017)","previouslyFormattedCitation":"(van Grunsven, L., &amp; Hutchinson, F.E., 2014, 2017)"},"properties":{"noteIndex":0},"schema":"https://github.com/citation-style-language/schema/raw/master/csl-citation.json"}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van Grunsven and Hutchinson (2014, 2017)</w:t>
      </w:r>
      <w:r w:rsidRPr="003314CA">
        <w:rPr>
          <w:rFonts w:ascii="ShangralaW90-Regular" w:hAnsi="ShangralaW90-Regular"/>
          <w:sz w:val="22"/>
          <w:szCs w:val="22"/>
        </w:rPr>
        <w:fldChar w:fldCharType="end"/>
      </w:r>
      <w:r w:rsidRPr="003314CA">
        <w:rPr>
          <w:rFonts w:ascii="ShangralaW90-Regular" w:hAnsi="ShangralaW90-Regular"/>
          <w:sz w:val="22"/>
          <w:szCs w:val="22"/>
        </w:rPr>
        <w:t xml:space="preserve">, and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{"citationItems":[{"id":"ITEM-1","itemData":{"DOI":"10.1111/apel.12235","ISSN":"14678411","abstract":"Launched in 1989 and encompassing Singapore, the Malaysian state of Johor, and Batam Island in Indonesia, the SIJORI Growth Triangle sought to market these territories as a ‘single investment destination’ offering differing factor endowments in close proximity. Singapore was the ‘core’ of the region; Johor and Batam occupied the land, labour, and resource-intensive ‘non-core’ spaces. During the 1990s, investment flows into the three territories, particularly in the electrical and electronics (E&amp;E) industry, mirrored this division of labour. Through scrutinising trends in E&amp;E firm entries, nationality, and industry branch in Singapore, Johor, and Batam for the 1993–2012/14 period, this article sheds light on the recent evolution of the E&amp;E sector in the Growth Triangle. We document an increasing disconnect between the three nodes that has substantially reduced SIJORI's significance as an integrated industrial cross-border region.","author":[{"dropping-particle":"","family":"Hutchinson, F.E., &amp; van Grunsven, L.","given":"","non-dropping-particle":"","parse-names":false,"suffix":""}],"container-title":"Asian-Pacific Economic Literature","id":"ITEM-1","issue":"2","issued":{"date-parts":[["2018"]]},"page":"42-63","title":"Industry dynamics in Growth Triangles: the E&amp;E industry in SIJORI 25 years on","type":"article-journal","volume":"32"},"uris":["http://www.mendeley.com/documents/?uuid=04bac17c-a891-4729-85bb-c609ede5239d"]}],"mendeley":{"formattedCitation":"(Hutchinson, F.E., &amp; van Grunsven, L., 2018)","manualFormatting":"Hutchinson and van Grunsven (2018)","plainTextFormattedCitation":"(Hutchinson, F.E., &amp; van Grunsven, L., 2018)","previouslyFormattedCitation":"(Hutchinson, F.E., &amp; van Grunsven, L., 2018)"},"properties":{"noteIndex":0},"schema":"https://github.com/citation-style-language/schema/raw/master/csl-citation.json"}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Hutchinson and van Grunsven (2018)</w:t>
      </w:r>
      <w:r w:rsidRPr="003314CA">
        <w:rPr>
          <w:rFonts w:ascii="ShangralaW90-Regular" w:hAnsi="ShangralaW90-Regular"/>
          <w:sz w:val="22"/>
          <w:szCs w:val="22"/>
        </w:rPr>
        <w:fldChar w:fldCharType="end"/>
      </w:r>
      <w:r w:rsidRPr="003314CA">
        <w:rPr>
          <w:rFonts w:ascii="ShangralaW90-Regular" w:hAnsi="ShangralaW90-Regular"/>
          <w:sz w:val="22"/>
          <w:szCs w:val="22"/>
        </w:rPr>
        <w:t xml:space="preserve"> that Batam encountered a decline in the number of establishments in the electrical and electronics industry. Even if many companies exited from Batam, Singapore’s FDI in equipment, machinery, electrical and electronic industry in Riau Islands continued to rise. For instance, in 2020 Singapore's investment in this subsector was more than USD 60 million, the highest investment from the country since the Sijori-GT announcement. </w:t>
      </w:r>
    </w:p>
    <w:p w14:paraId="323633BF" w14:textId="476331F3" w:rsidR="001E5DAC" w:rsidRPr="003314CA" w:rsidRDefault="003461B6" w:rsidP="003314CA">
      <w:pPr>
        <w:spacing w:line="276" w:lineRule="auto"/>
        <w:ind w:firstLine="540"/>
        <w:jc w:val="both"/>
        <w:rPr>
          <w:rFonts w:ascii="ShangralaW90-Regular" w:hAnsi="ShangralaW90-Regular"/>
          <w:sz w:val="22"/>
          <w:szCs w:val="22"/>
        </w:rPr>
      </w:pPr>
      <w:r w:rsidRPr="003314CA">
        <w:rPr>
          <w:rFonts w:ascii="ShangralaW90-Regular" w:hAnsi="ShangralaW90-Regular"/>
          <w:sz w:val="22"/>
          <w:szCs w:val="22"/>
        </w:rPr>
        <w:t xml:space="preserve">The statistical results in Table 5 </w:t>
      </w:r>
      <w:r w:rsidRPr="000502BD">
        <w:rPr>
          <w:rFonts w:ascii="ShangralaW90-Regular" w:hAnsi="ShangralaW90-Regular"/>
          <w:sz w:val="22"/>
          <w:szCs w:val="22"/>
          <w:highlight w:val="green"/>
        </w:rPr>
        <w:t>show</w:t>
      </w:r>
      <w:r w:rsidRPr="003314CA">
        <w:rPr>
          <w:rFonts w:ascii="ShangralaW90-Regular" w:hAnsi="ShangralaW90-Regular"/>
          <w:sz w:val="22"/>
          <w:szCs w:val="22"/>
        </w:rPr>
        <w:t xml:space="preserve"> that the variable of equipment, machinery, electrical and electronic industry has a negative mean difference with variable metal, chemical and pharmaceutical industries. It means that Singapore's investment in metal, chemical and pharmaceutical industries was larger than its investment in equipment, machinery, electrical and electronic industries. It </w:t>
      </w:r>
      <w:r w:rsidRPr="000502BD">
        <w:rPr>
          <w:rFonts w:ascii="ShangralaW90-Regular" w:hAnsi="ShangralaW90-Regular"/>
          <w:sz w:val="22"/>
          <w:szCs w:val="22"/>
          <w:highlight w:val="green"/>
        </w:rPr>
        <w:t>impli</w:t>
      </w:r>
      <w:r w:rsidR="000502BD" w:rsidRPr="000502BD">
        <w:rPr>
          <w:rFonts w:ascii="ShangralaW90-Regular" w:hAnsi="ShangralaW90-Regular"/>
          <w:sz w:val="22"/>
          <w:szCs w:val="22"/>
          <w:highlight w:val="green"/>
        </w:rPr>
        <w:t>es</w:t>
      </w:r>
      <w:r w:rsidRPr="003314CA">
        <w:rPr>
          <w:rFonts w:ascii="ShangralaW90-Regular" w:hAnsi="ShangralaW90-Regular"/>
          <w:sz w:val="22"/>
          <w:szCs w:val="22"/>
        </w:rPr>
        <w:t xml:space="preserve"> that Singapore needs more land for its land-intensive industries such as metal, chemical, and pharmaceutical industries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{"citationItems":[{"id":"ITEM-1","itemData":{"author":[{"dropping-particle":"","family":"Kakazu","given":"Hiroshi","non-dropping-particle":"","parse-names":false,"suffix":""}],"collection-title":"Politics and International Relation Series 1999-03","id":"ITEM-1","issued":{"date-parts":[["1999"]]},"number":"9","title":"Growth Triangles in Asia: A New Approach to Regional Cooperation","type":"report"},"uris":["http://www.mendeley.com/documents/?uuid=ded48447-a9e2-415d-b5c0-1612bda01448"]},{"id":"ITEM-2","itemData":{"author":[{"dropping-particle":"","family":"Macleod, S., &amp; McGee, T.G.","given":"","non-dropping-particle":"","parse-names":false,"suffix":""}],"container-title":"Emerging world cities in Pacific Asia","editor":[{"dropping-particle":"","family":"Fu-chen Lo and Yue-man Yeung","given":"","non-dropping-particle":"","parse-names":false,"suffix":""}],"id":"ITEM-2","issued":{"date-parts":[["1996"]]},"publisher":"United Nations University Press","title":"The Singapore-Johore-Riau Growth triangle: An emerging extended metropolitan region","type":"chapter"},"uris":["http://www.mendeley.com/documents/?uuid=53eb2f64-7338-407b-8333-a7a81298173b"]}],"mendeley":{"formattedCitation":"(Kakazu, 1999; Macleod, S., &amp; McGee, T.G., 1996)","manualFormatting":"(Kakazu, 1999; Macleod and  McGee, 1996)","plainTextFormattedCitation":"(Kakazu, 1999; Macleod, S., &amp; McGee, T.G., 1996)","previouslyFormattedCitation":"(Kakazu, 1999; Macleod, S., &amp; McGee, T.G., 1996)"},"properties":{"noteIndex":0},"schema":"https://github.com/citation-style-language/schema/raw/master/csl-citation.json"}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(Kakazu, 1999; Macleod and  McGee, 1996)</w:t>
      </w:r>
      <w:r w:rsidRPr="003314CA">
        <w:rPr>
          <w:rFonts w:ascii="ShangralaW90-Regular" w:hAnsi="ShangralaW90-Regular"/>
          <w:sz w:val="22"/>
          <w:szCs w:val="22"/>
        </w:rPr>
        <w:fldChar w:fldCharType="end"/>
      </w:r>
      <w:r w:rsidRPr="003314CA">
        <w:rPr>
          <w:rFonts w:ascii="ShangralaW90-Regular" w:hAnsi="ShangralaW90-Regular"/>
          <w:sz w:val="22"/>
          <w:szCs w:val="22"/>
        </w:rPr>
        <w:t xml:space="preserve"> amidst land scarcity in Singapore due to </w:t>
      </w:r>
      <w:r w:rsidRPr="001233A1">
        <w:rPr>
          <w:rFonts w:ascii="ShangralaW90-Regular" w:hAnsi="ShangralaW90-Regular"/>
          <w:sz w:val="22"/>
          <w:szCs w:val="22"/>
          <w:highlight w:val="green"/>
        </w:rPr>
        <w:t>population growth</w:t>
      </w:r>
      <w:r w:rsidR="00C83CAA" w:rsidRPr="001233A1">
        <w:rPr>
          <w:rFonts w:ascii="ShangralaW90-Regular" w:hAnsi="ShangralaW90-Regular"/>
          <w:sz w:val="22"/>
          <w:szCs w:val="22"/>
          <w:highlight w:val="green"/>
        </w:rPr>
        <w:t xml:space="preserve"> and </w:t>
      </w:r>
      <w:r w:rsidR="001233A1" w:rsidRPr="001233A1">
        <w:rPr>
          <w:rFonts w:ascii="ShangralaW90-Regular" w:hAnsi="ShangralaW90-Regular"/>
          <w:sz w:val="22"/>
          <w:szCs w:val="22"/>
          <w:highlight w:val="green"/>
        </w:rPr>
        <w:t>metropolitan development</w:t>
      </w:r>
      <w:r w:rsidRPr="001233A1">
        <w:rPr>
          <w:rFonts w:ascii="ShangralaW90-Regular" w:hAnsi="ShangralaW90-Regular"/>
          <w:sz w:val="22"/>
          <w:szCs w:val="22"/>
          <w:highlight w:val="green"/>
        </w:rPr>
        <w:t xml:space="preserve">  (see Table 2).</w:t>
      </w:r>
      <w:r w:rsidRPr="003314CA">
        <w:rPr>
          <w:rFonts w:ascii="ShangralaW90-Regular" w:hAnsi="ShangralaW90-Regular"/>
          <w:sz w:val="22"/>
          <w:szCs w:val="22"/>
        </w:rPr>
        <w:t xml:space="preserve">  In addition, Singapore invested in the equipment, machinery, electrical and electronic industry because it has comparative </w:t>
      </w:r>
      <w:r w:rsidRPr="005470CB">
        <w:rPr>
          <w:rFonts w:ascii="ShangralaW90-Regular" w:hAnsi="ShangralaW90-Regular"/>
          <w:sz w:val="22"/>
          <w:szCs w:val="22"/>
          <w:highlight w:val="green"/>
        </w:rPr>
        <w:t>advantages in the subsectors</w:t>
      </w:r>
      <w:r w:rsidRPr="003314CA">
        <w:rPr>
          <w:rFonts w:ascii="ShangralaW90-Regular" w:hAnsi="ShangralaW90-Regular"/>
          <w:sz w:val="22"/>
          <w:szCs w:val="22"/>
        </w:rPr>
        <w:t xml:space="preserve">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{"citationItems":[{"id":"ITEM-1","itemData":{"URL":"https://unctadstat.unctad.org/wds/TableViewer/dimView.aspx","author":[{"dropping-particle":"","family":"UNCTAD","given":"","non-dropping-particle":"","parse-names":false,"suffix":""}],"container-title":"UNCTAD Statistics","id":"ITEM-1","issued":{"date-parts":[["0"]]},"title":"International Mechandise Trade Report: Revealed comparative advantage index","type":"webpage"},"uris":["http://www.mendeley.com/documents/?uuid=37f49bbd-72e9-4d0a-a2c8-ab7d33b43729"]}],"mendeley":{"formattedCitation":"(UNCTAD, n.d.)","plainTextFormattedCitation":"(UNCTAD, n.d.)","previouslyFormattedCitation":"(UNCTAD, n.d.)"},"properties":{"noteIndex":0},"schema":"https://github.com/citation-style-language/schema/raw/master/csl-citation.json"}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(UNCTAD, n.d.)</w:t>
      </w:r>
      <w:r w:rsidRPr="003314CA">
        <w:rPr>
          <w:rFonts w:ascii="ShangralaW90-Regular" w:hAnsi="ShangralaW90-Regular"/>
          <w:sz w:val="22"/>
          <w:szCs w:val="22"/>
        </w:rPr>
        <w:fldChar w:fldCharType="end"/>
      </w:r>
      <w:r w:rsidRPr="003314CA">
        <w:rPr>
          <w:rFonts w:ascii="ShangralaW90-Regular" w:hAnsi="ShangralaW90-Regular"/>
          <w:sz w:val="22"/>
          <w:szCs w:val="22"/>
        </w:rPr>
        <w:t xml:space="preserve">. </w:t>
      </w:r>
    </w:p>
    <w:p w14:paraId="646BF8E2" w14:textId="77777777" w:rsidR="001E5DAC" w:rsidRDefault="003461B6" w:rsidP="003314CA">
      <w:pPr>
        <w:spacing w:line="276" w:lineRule="auto"/>
        <w:ind w:firstLine="540"/>
        <w:jc w:val="both"/>
        <w:rPr>
          <w:rFonts w:ascii="Palatino Linotype" w:hAnsi="Palatino Linotype"/>
        </w:rPr>
      </w:pPr>
      <w:r w:rsidRPr="003314CA">
        <w:rPr>
          <w:rFonts w:ascii="ShangralaW90-Regular" w:hAnsi="ShangralaW90-Regular"/>
          <w:sz w:val="22"/>
          <w:szCs w:val="22"/>
        </w:rPr>
        <w:t xml:space="preserve">In explaining tertiary subsectors, </w:t>
      </w:r>
      <w:r w:rsidRPr="009E1E75">
        <w:rPr>
          <w:rFonts w:ascii="ShangralaW90-Regular" w:hAnsi="ShangralaW90-Regular"/>
          <w:sz w:val="22"/>
          <w:szCs w:val="22"/>
          <w:highlight w:val="green"/>
        </w:rPr>
        <w:t>author</w:t>
      </w:r>
      <w:r w:rsidR="009E1E75" w:rsidRPr="009E1E75">
        <w:rPr>
          <w:rFonts w:ascii="ShangralaW90-Regular" w:hAnsi="ShangralaW90-Regular"/>
          <w:sz w:val="22"/>
          <w:szCs w:val="22"/>
          <w:highlight w:val="green"/>
        </w:rPr>
        <w:t>s</w:t>
      </w:r>
      <w:r w:rsidRPr="003314CA">
        <w:rPr>
          <w:rFonts w:ascii="ShangralaW90-Regular" w:hAnsi="ShangralaW90-Regular"/>
          <w:sz w:val="22"/>
          <w:szCs w:val="22"/>
        </w:rPr>
        <w:t xml:space="preserve"> analyzed three major subsectors, having a large value of the total investment, that is 1) hotel and restaurant; 2) real and industrial estate, and business activities; and 3) logistics (transport and storage) and communication.  Singapore invested more in </w:t>
      </w:r>
      <w:r w:rsidRPr="003314CA">
        <w:rPr>
          <w:rFonts w:ascii="ShangralaW90-Regular" w:hAnsi="ShangralaW90-Regular"/>
          <w:sz w:val="22"/>
          <w:szCs w:val="22"/>
        </w:rPr>
        <w:lastRenderedPageBreak/>
        <w:t>hotels and restaurants in Riau Islands and less in logistics and communication, real and industrial estate, and business activities. The highest value of investment in real and industrial estate and business activities (USD 360 million) only took place in 1998. The highest value of Singapore's FDI in logistics and communication (USD 115 million) also took place only in 2014 (Figure 6).</w:t>
      </w:r>
      <w:r w:rsidRPr="001E5DAC">
        <w:rPr>
          <w:rFonts w:ascii="ShangralaW90-Regular" w:hAnsi="ShangralaW90-Regular"/>
          <w:sz w:val="22"/>
          <w:szCs w:val="22"/>
        </w:rPr>
        <w:t xml:space="preserve">  </w:t>
      </w:r>
      <w:r w:rsidRPr="00127148">
        <w:rPr>
          <w:rFonts w:ascii="Palatino Linotype" w:hAnsi="Palatino Linotype"/>
        </w:rPr>
        <w:t xml:space="preserve"> </w:t>
      </w:r>
    </w:p>
    <w:p w14:paraId="1D37CF6B" w14:textId="77777777" w:rsidR="001E5DAC" w:rsidRPr="0026624C" w:rsidRDefault="003461B6" w:rsidP="005B331C">
      <w:pPr>
        <w:spacing w:line="276" w:lineRule="auto"/>
        <w:ind w:firstLine="540"/>
        <w:jc w:val="both"/>
        <w:rPr>
          <w:rFonts w:ascii="Palatino Linotype" w:hAnsi="Palatino Linotype"/>
        </w:rPr>
      </w:pPr>
      <w:r>
        <w:rPr>
          <w:noProof/>
        </w:rPr>
        <w:drawing>
          <wp:anchor distT="0" distB="0" distL="114300" distR="114300" simplePos="0" relativeHeight="251660288" behindDoc="1" locked="0" layoutInCell="1" allowOverlap="1" wp14:anchorId="1CD4E769" wp14:editId="2EBE6C4E">
            <wp:simplePos x="0" y="0"/>
            <wp:positionH relativeFrom="margin">
              <wp:posOffset>-236855</wp:posOffset>
            </wp:positionH>
            <wp:positionV relativeFrom="paragraph">
              <wp:posOffset>266700</wp:posOffset>
            </wp:positionV>
            <wp:extent cx="6269990" cy="2473325"/>
            <wp:effectExtent l="0" t="0" r="0" b="3175"/>
            <wp:wrapTight wrapText="bothSides">
              <wp:wrapPolygon edited="0">
                <wp:start x="0" y="0"/>
                <wp:lineTo x="0" y="21461"/>
                <wp:lineTo x="21526" y="21461"/>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269990" cy="2473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D0322" w14:textId="77777777" w:rsidR="0026624C" w:rsidRPr="00AF775F" w:rsidRDefault="003461B6" w:rsidP="0026624C">
      <w:pPr>
        <w:spacing w:line="276" w:lineRule="auto"/>
        <w:jc w:val="center"/>
        <w:rPr>
          <w:rFonts w:ascii="ShangralaW90-Regular" w:hAnsi="ShangralaW90-Regular"/>
          <w:sz w:val="22"/>
          <w:szCs w:val="22"/>
        </w:rPr>
      </w:pPr>
      <w:r w:rsidRPr="00481D10">
        <w:rPr>
          <w:rFonts w:ascii="ShangralaW90-Regular" w:hAnsi="ShangralaW90-Regular"/>
          <w:i/>
          <w:sz w:val="22"/>
          <w:szCs w:val="22"/>
          <w:highlight w:val="green"/>
        </w:rPr>
        <w:t>Figure 6</w:t>
      </w:r>
      <w:r w:rsidRPr="00481D10">
        <w:rPr>
          <w:rFonts w:ascii="ShangralaW90-Regular" w:hAnsi="ShangralaW90-Regular"/>
          <w:sz w:val="22"/>
          <w:szCs w:val="22"/>
          <w:highlight w:val="green"/>
        </w:rPr>
        <w:t>. Singapore's FDI in Riau Islands</w:t>
      </w:r>
      <w:r w:rsidR="00DA389F" w:rsidRPr="00481D10">
        <w:rPr>
          <w:rFonts w:ascii="ShangralaW90-Regular" w:hAnsi="ShangralaW90-Regular"/>
          <w:sz w:val="22"/>
          <w:szCs w:val="22"/>
          <w:highlight w:val="green"/>
        </w:rPr>
        <w:t xml:space="preserve"> by the Non-Manufacturing Subsectors</w:t>
      </w:r>
    </w:p>
    <w:p w14:paraId="510DD8DC" w14:textId="77777777" w:rsidR="003314CA" w:rsidRPr="003314CA" w:rsidRDefault="003461B6" w:rsidP="0026624C">
      <w:pPr>
        <w:spacing w:line="276" w:lineRule="auto"/>
        <w:jc w:val="center"/>
        <w:rPr>
          <w:rFonts w:ascii="ShangralaW90-Regular" w:hAnsi="ShangralaW90-Regular"/>
          <w:sz w:val="22"/>
          <w:szCs w:val="22"/>
        </w:rPr>
      </w:pPr>
      <w:r w:rsidRPr="003314CA">
        <w:rPr>
          <w:rFonts w:ascii="ShangralaW90-Regular" w:hAnsi="ShangralaW90-Regular"/>
          <w:sz w:val="22"/>
          <w:szCs w:val="22"/>
        </w:rPr>
        <w:t>(</w:t>
      </w:r>
      <w:r w:rsidR="00AF775F">
        <w:rPr>
          <w:rFonts w:ascii="ShangralaW90-Regular" w:hAnsi="ShangralaW90-Regular"/>
          <w:sz w:val="22"/>
          <w:szCs w:val="22"/>
        </w:rPr>
        <w:t xml:space="preserve">Source: </w:t>
      </w:r>
      <w:r w:rsidRPr="00B14A8A">
        <w:rPr>
          <w:rFonts w:ascii="ShangralaW90-Regular" w:hAnsi="ShangralaW90-Regular"/>
          <w:sz w:val="22"/>
          <w:szCs w:val="22"/>
          <w:highlight w:val="green"/>
        </w:rPr>
        <w:t>Authors</w:t>
      </w:r>
      <w:r w:rsidR="00B14A8A" w:rsidRPr="00B14A8A">
        <w:rPr>
          <w:rFonts w:ascii="ShangralaW90-Regular" w:hAnsi="ShangralaW90-Regular"/>
          <w:sz w:val="22"/>
          <w:szCs w:val="22"/>
          <w:highlight w:val="green"/>
        </w:rPr>
        <w:t>’</w:t>
      </w:r>
      <w:r w:rsidRPr="003314CA">
        <w:rPr>
          <w:rFonts w:ascii="ShangralaW90-Regular" w:hAnsi="ShangralaW90-Regular"/>
          <w:sz w:val="22"/>
          <w:szCs w:val="22"/>
        </w:rPr>
        <w:t xml:space="preserve"> compilation based on data from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URL":"https://nswi.bkpm.go.id/data_statistik","author":[{"dropping-particle":"","family":"NSWiMinistryofInvestment","given":"","non-dropping-particle":"","parse-names":false,"suffix":""}],"id":"ITEM-1","issued":{"date-parts":[["0"]]},"title":"Perkembangan Investasi 1990-2020","type":"webpage"},"uris":["http://www.mendeley.com/documents/?uuid=d4883eed-530c-4217-8fda-d3e334488561"]}],"mendeley":{"formattedCitation":"(NSWiMinistryofInvestment, n.d.)","manualFormatting":"NSWi Ministry of Investment (n.d.)","plainTextFormattedCitation":"(NSWiMinistryofInvestment, n.d.)","previouslyFormattedCitation":"(NSWiMinistryofInvestment, n.d.)"},"properties":{"noteIndex":0},"schema":"https://github.com/citation-style-language/schema/raw/master/csl-citation.json"}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NSWi Ministry of Investment (n.d.)</w:t>
      </w:r>
      <w:r w:rsidRPr="003314CA">
        <w:rPr>
          <w:rFonts w:ascii="ShangralaW90-Regular" w:hAnsi="ShangralaW90-Regular"/>
          <w:sz w:val="22"/>
          <w:szCs w:val="22"/>
        </w:rPr>
        <w:fldChar w:fldCharType="end"/>
      </w:r>
      <w:r w:rsidRPr="003314CA">
        <w:rPr>
          <w:rFonts w:ascii="ShangralaW90-Regular" w:hAnsi="ShangralaW90-Regular"/>
          <w:sz w:val="22"/>
          <w:szCs w:val="22"/>
        </w:rPr>
        <w:t>)</w:t>
      </w:r>
    </w:p>
    <w:p w14:paraId="1B4561E4" w14:textId="77777777" w:rsidR="00B14A8A" w:rsidRDefault="00B14A8A" w:rsidP="003574B3">
      <w:pPr>
        <w:spacing w:line="276" w:lineRule="auto"/>
        <w:ind w:firstLine="540"/>
        <w:jc w:val="both"/>
        <w:rPr>
          <w:rFonts w:ascii="ShangralaW90-Regular" w:hAnsi="ShangralaW90-Regular"/>
          <w:i/>
          <w:sz w:val="22"/>
          <w:szCs w:val="22"/>
        </w:rPr>
      </w:pPr>
    </w:p>
    <w:p w14:paraId="4FC93155" w14:textId="77777777" w:rsidR="003314CA" w:rsidRDefault="003461B6" w:rsidP="003574B3">
      <w:pPr>
        <w:spacing w:line="276" w:lineRule="auto"/>
        <w:ind w:firstLine="540"/>
        <w:jc w:val="both"/>
        <w:rPr>
          <w:rFonts w:ascii="ShangralaW90-Regular" w:hAnsi="ShangralaW90-Regular"/>
          <w:sz w:val="22"/>
          <w:szCs w:val="22"/>
        </w:rPr>
      </w:pPr>
      <w:r w:rsidRPr="003314CA">
        <w:rPr>
          <w:rFonts w:ascii="ShangralaW90-Regular" w:hAnsi="ShangralaW90-Regular"/>
          <w:sz w:val="22"/>
          <w:szCs w:val="22"/>
        </w:rPr>
        <w:t xml:space="preserve">The output of the Games-Howell test (Table 5) </w:t>
      </w:r>
      <w:r w:rsidRPr="000A55CD">
        <w:rPr>
          <w:rFonts w:ascii="ShangralaW90-Regular" w:hAnsi="ShangralaW90-Regular"/>
          <w:sz w:val="22"/>
          <w:szCs w:val="22"/>
          <w:highlight w:val="green"/>
        </w:rPr>
        <w:t>demonstrate</w:t>
      </w:r>
      <w:r w:rsidR="000A55CD" w:rsidRPr="000A55CD">
        <w:rPr>
          <w:rFonts w:ascii="ShangralaW90-Regular" w:hAnsi="ShangralaW90-Regular"/>
          <w:sz w:val="22"/>
          <w:szCs w:val="22"/>
          <w:highlight w:val="green"/>
        </w:rPr>
        <w:t>s</w:t>
      </w:r>
      <w:r w:rsidRPr="003314CA">
        <w:rPr>
          <w:rFonts w:ascii="ShangralaW90-Regular" w:hAnsi="ShangralaW90-Regular"/>
          <w:sz w:val="22"/>
          <w:szCs w:val="22"/>
        </w:rPr>
        <w:t xml:space="preserve"> that the computed Sig value of 0.045 </w:t>
      </w:r>
      <w:r w:rsidR="002454AC" w:rsidRPr="002454AC">
        <w:rPr>
          <w:rFonts w:ascii="ShangralaW90-Regular" w:hAnsi="ShangralaW90-Regular"/>
          <w:sz w:val="22"/>
          <w:szCs w:val="22"/>
          <w:highlight w:val="green"/>
        </w:rPr>
        <w:t>is</w:t>
      </w:r>
      <w:r w:rsidRPr="003314CA">
        <w:rPr>
          <w:rFonts w:ascii="ShangralaW90-Regular" w:hAnsi="ShangralaW90-Regular"/>
          <w:sz w:val="22"/>
          <w:szCs w:val="22"/>
        </w:rPr>
        <w:t xml:space="preserve"> less than 0.05 for comparison between Singapore's FDI in logistics and communication, and hotels and restaurants in Riau Islands (with a negative mean difference).  Thus, </w:t>
      </w:r>
      <w:r w:rsidRPr="002454AC">
        <w:rPr>
          <w:rFonts w:ascii="ShangralaW90-Regular" w:hAnsi="ShangralaW90-Regular"/>
          <w:sz w:val="22"/>
          <w:szCs w:val="22"/>
          <w:highlight w:val="green"/>
        </w:rPr>
        <w:t>author</w:t>
      </w:r>
      <w:r w:rsidR="002454AC">
        <w:rPr>
          <w:rFonts w:ascii="ShangralaW90-Regular" w:hAnsi="ShangralaW90-Regular"/>
          <w:sz w:val="22"/>
          <w:szCs w:val="22"/>
          <w:highlight w:val="green"/>
        </w:rPr>
        <w:t>s</w:t>
      </w:r>
      <w:r w:rsidRPr="003314CA">
        <w:rPr>
          <w:rFonts w:ascii="ShangralaW90-Regular" w:hAnsi="ShangralaW90-Regular"/>
          <w:sz w:val="22"/>
          <w:szCs w:val="22"/>
        </w:rPr>
        <w:t xml:space="preserve"> accepted H</w:t>
      </w:r>
      <w:r w:rsidRPr="003314CA">
        <w:rPr>
          <w:rFonts w:ascii="ShangralaW90-Regular" w:hAnsi="ShangralaW90-Regular"/>
          <w:sz w:val="22"/>
          <w:szCs w:val="22"/>
          <w:vertAlign w:val="subscript"/>
        </w:rPr>
        <w:t>1</w:t>
      </w:r>
      <w:r w:rsidRPr="003314CA">
        <w:rPr>
          <w:rFonts w:ascii="ShangralaW90-Regular" w:hAnsi="ShangralaW90-Regular"/>
          <w:sz w:val="22"/>
          <w:szCs w:val="22"/>
        </w:rPr>
        <w:t xml:space="preserve">, that is Singapore's FDI in logistics and communication in Riau Islands </w:t>
      </w:r>
      <w:r w:rsidR="002454AC" w:rsidRPr="002454AC">
        <w:rPr>
          <w:rFonts w:ascii="ShangralaW90-Regular" w:hAnsi="ShangralaW90-Regular"/>
          <w:sz w:val="22"/>
          <w:szCs w:val="22"/>
          <w:highlight w:val="green"/>
        </w:rPr>
        <w:t>is</w:t>
      </w:r>
      <w:r w:rsidR="002454AC">
        <w:rPr>
          <w:rFonts w:ascii="ShangralaW90-Regular" w:hAnsi="ShangralaW90-Regular"/>
          <w:sz w:val="22"/>
          <w:szCs w:val="22"/>
        </w:rPr>
        <w:t xml:space="preserve"> </w:t>
      </w:r>
      <w:r w:rsidRPr="003314CA">
        <w:rPr>
          <w:rFonts w:ascii="ShangralaW90-Regular" w:hAnsi="ShangralaW90-Regular"/>
          <w:sz w:val="22"/>
          <w:szCs w:val="22"/>
        </w:rPr>
        <w:t xml:space="preserve">significantly different from Singapore's FDI in other tertiary subsectors (Hypothesis 6).  The mean difference </w:t>
      </w:r>
      <w:r w:rsidR="002454AC" w:rsidRPr="002454AC">
        <w:rPr>
          <w:rFonts w:ascii="ShangralaW90-Regular" w:hAnsi="ShangralaW90-Regular"/>
          <w:sz w:val="22"/>
          <w:szCs w:val="22"/>
          <w:highlight w:val="green"/>
        </w:rPr>
        <w:t>is</w:t>
      </w:r>
      <w:r w:rsidRPr="003314CA">
        <w:rPr>
          <w:rFonts w:ascii="ShangralaW90-Regular" w:hAnsi="ShangralaW90-Regular"/>
          <w:sz w:val="22"/>
          <w:szCs w:val="22"/>
        </w:rPr>
        <w:t xml:space="preserve"> negative for all variables in tertiary sub-sectors, meaning the means of the hotel and restaurant, real estate, industrial estate, and business activities were larger than the mean of the logistics and communication sector.  It </w:t>
      </w:r>
      <w:r w:rsidR="002454AC">
        <w:rPr>
          <w:rFonts w:ascii="ShangralaW90-Regular" w:hAnsi="ShangralaW90-Regular"/>
          <w:sz w:val="22"/>
          <w:szCs w:val="22"/>
        </w:rPr>
        <w:t>was</w:t>
      </w:r>
      <w:r w:rsidRPr="003314CA">
        <w:rPr>
          <w:rFonts w:ascii="ShangralaW90-Regular" w:hAnsi="ShangralaW90-Regular"/>
          <w:sz w:val="22"/>
          <w:szCs w:val="22"/>
        </w:rPr>
        <w:t xml:space="preserve"> confirmed by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{"citationItems":[{"id":"ITEM-1","itemData":{"author":[{"dropping-particle":"","family":"Grundy-Warr, C., &amp; Perry","given":"M.","non-dropping-particle":"","parse-names":false,"suffix":""}],"chapter-number":"Tourism in","container-title":"Interconnected Worlds: Tourism in Southeast Asia","editor":[{"dropping-particle":"","family":"Teo, P., Chang, T.C., &amp; Ho","given":"K.C.","non-dropping-particle":"","parse-names":false,"suffix":""}],"id":"ITEM-1","issued":{"date-parts":[["2001"]]},"page":"64-83","publisher":"Pergamon","publisher-place":"The Netherlands","title":"Tourism in an Inter-State Borderland: The Case of the Indonesian-Singapore Cooperation","type":"chapter"},"uris":["http://www.mendeley.com/documents/?uuid=9f330da7-8d3e-4a6d-8fe3-3b124197fdcc"]}],"mendeley":{"formattedCitation":"(Grundy-Warr, C., &amp; Perry, 2001)","manualFormatting":"Grundy-Warr and Perry (2001)","plainTextFormattedCitation":"(Grundy-Warr, C., &amp; Perry, 2001)","previouslyFormattedCitation":"(Grundy-Warr, C., &amp; Perry, 2001)"},"properties":{"noteIndex":0},"schema":"https://github.com/citation-style-language/schema/raw/master/csl-citation.json"}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Grundy-Warr and Perry (2001)</w:t>
      </w:r>
      <w:r w:rsidRPr="003314CA">
        <w:rPr>
          <w:rFonts w:ascii="ShangralaW90-Regular" w:hAnsi="ShangralaW90-Regular"/>
          <w:sz w:val="22"/>
          <w:szCs w:val="22"/>
        </w:rPr>
        <w:fldChar w:fldCharType="end"/>
      </w:r>
      <w:r w:rsidRPr="003314CA">
        <w:rPr>
          <w:rFonts w:ascii="ShangralaW90-Regular" w:hAnsi="ShangralaW90-Regular"/>
          <w:sz w:val="22"/>
          <w:szCs w:val="22"/>
        </w:rPr>
        <w:t xml:space="preserve"> that  Singaporean companies, such as Gallant Venture and Keppel Group, invested in the tourism sector in Bintan and Batam in response to subregional cooperation between Indonesia and Singapore and the high demand for leisure in Riau Islands by Singaporean residents.  Gallant Venture, for example, developed business in the </w:t>
      </w:r>
      <w:r w:rsidR="002454AC" w:rsidRPr="002454AC">
        <w:rPr>
          <w:rFonts w:ascii="ShangralaW90-Regular" w:hAnsi="ShangralaW90-Regular"/>
          <w:sz w:val="22"/>
          <w:szCs w:val="22"/>
          <w:highlight w:val="green"/>
        </w:rPr>
        <w:t>field</w:t>
      </w:r>
      <w:r w:rsidRPr="003314CA">
        <w:rPr>
          <w:rFonts w:ascii="ShangralaW90-Regular" w:hAnsi="ShangralaW90-Regular"/>
          <w:sz w:val="22"/>
          <w:szCs w:val="22"/>
        </w:rPr>
        <w:t xml:space="preserve"> of utilities, resort operations, property development beside manufacturing industries and industrial parks in Batam and Bintan Island </w:t>
      </w:r>
      <w:r w:rsidRPr="003314CA">
        <w:rPr>
          <w:rFonts w:ascii="ShangralaW90-Regular" w:hAnsi="ShangralaW90-Regular"/>
          <w:sz w:val="22"/>
          <w:szCs w:val="22"/>
        </w:rPr>
        <w:fldChar w:fldCharType="begin" w:fldLock="1"/>
      </w:r>
      <w:r w:rsidRPr="003314CA">
        <w:rPr>
          <w:rFonts w:ascii="ShangralaW90-Regular" w:hAnsi="ShangralaW90-Regular"/>
          <w:sz w:val="22"/>
          <w:szCs w:val="22"/>
        </w:rPr>
        <w:instrText>ADDIN CSL_CITATION {"citationItems":[{"id":"ITEM-1","itemData":{"URL":"http://www.gallantventure.com/","author":[{"dropping-particle":"","family":"Gallant Venture","given":"","non-dropping-particle":"","parse-names":false,"suffix":""}],"id":"ITEM-1","issued":{"date-parts":[["0"]]},"title":"Corporate Info: Business Structure","type":"webpage"},"uris":["http://www.mendeley.com/documents/?uuid=e8338b18-766b-4f65-9bcb-a15706c9e39e"]}],"mendeley":{"formattedCitation":"(Gallant Venture, n.d.)","plainTextFormattedCitation":"(Gallant Venture, n.d.)","previouslyFormattedCitation":"(Gallant Venture, n.d.)"},"properties":{"noteIndex":0},"schema":"https://github.com/citation-style-language/schema/raw/master/csl-citation.json"}</w:instrText>
      </w:r>
      <w:r w:rsidRPr="003314CA">
        <w:rPr>
          <w:rFonts w:ascii="ShangralaW90-Regular" w:hAnsi="ShangralaW90-Regular"/>
          <w:sz w:val="22"/>
          <w:szCs w:val="22"/>
        </w:rPr>
        <w:fldChar w:fldCharType="separate"/>
      </w:r>
      <w:r w:rsidRPr="003314CA">
        <w:rPr>
          <w:rFonts w:ascii="ShangralaW90-Regular" w:hAnsi="ShangralaW90-Regular"/>
          <w:noProof/>
          <w:sz w:val="22"/>
          <w:szCs w:val="22"/>
        </w:rPr>
        <w:t>(Gallant Venture, n.d.)</w:t>
      </w:r>
      <w:r w:rsidRPr="003314CA">
        <w:rPr>
          <w:rFonts w:ascii="ShangralaW90-Regular" w:hAnsi="ShangralaW90-Regular"/>
          <w:sz w:val="22"/>
          <w:szCs w:val="22"/>
        </w:rPr>
        <w:fldChar w:fldCharType="end"/>
      </w:r>
      <w:r w:rsidRPr="003314CA">
        <w:rPr>
          <w:rFonts w:ascii="ShangralaW90-Regular" w:hAnsi="ShangralaW90-Regular"/>
          <w:sz w:val="22"/>
          <w:szCs w:val="22"/>
        </w:rPr>
        <w:t xml:space="preserve">. </w:t>
      </w:r>
    </w:p>
    <w:p w14:paraId="7DF32EF8" w14:textId="77777777" w:rsidR="003574B3" w:rsidRDefault="003574B3" w:rsidP="003574B3">
      <w:pPr>
        <w:spacing w:line="276" w:lineRule="auto"/>
        <w:jc w:val="both"/>
        <w:rPr>
          <w:rFonts w:ascii="ShangralaW90-Regular" w:hAnsi="ShangralaW90-Regular"/>
          <w:sz w:val="22"/>
          <w:szCs w:val="22"/>
        </w:rPr>
      </w:pPr>
    </w:p>
    <w:p w14:paraId="755DCFCF" w14:textId="77777777" w:rsidR="006079D5" w:rsidRPr="003574B3" w:rsidRDefault="003461B6" w:rsidP="000F2FB1">
      <w:pPr>
        <w:pStyle w:val="Body"/>
        <w:spacing w:after="120"/>
        <w:jc w:val="both"/>
        <w:rPr>
          <w:rFonts w:ascii="Lato" w:eastAsia="Cambria" w:hAnsi="Lato" w:cs="Cambria"/>
          <w:b/>
          <w:i/>
          <w:color w:val="1F4E79" w:themeColor="accent5" w:themeShade="80"/>
          <w:sz w:val="24"/>
          <w:szCs w:val="24"/>
          <w:u w:color="FF0000"/>
        </w:rPr>
      </w:pPr>
      <w:r w:rsidRPr="003574B3">
        <w:rPr>
          <w:rFonts w:ascii="Lato" w:eastAsia="Cambria" w:hAnsi="Lato" w:cs="Cambria"/>
          <w:b/>
          <w:i/>
          <w:color w:val="1F4E79" w:themeColor="accent5" w:themeShade="80"/>
          <w:sz w:val="24"/>
          <w:szCs w:val="24"/>
          <w:u w:color="FF0000"/>
        </w:rPr>
        <w:t>Malaysia’s Sectoral FDI’s</w:t>
      </w:r>
    </w:p>
    <w:p w14:paraId="2AFA31CF" w14:textId="201BE491" w:rsidR="003574B3" w:rsidRPr="003574B3" w:rsidRDefault="003461B6" w:rsidP="00412070">
      <w:pPr>
        <w:spacing w:after="240" w:line="276" w:lineRule="auto"/>
        <w:ind w:firstLine="540"/>
        <w:jc w:val="both"/>
        <w:rPr>
          <w:rFonts w:ascii="ShangralaW90-Regular" w:hAnsi="ShangralaW90-Regular"/>
          <w:sz w:val="22"/>
          <w:szCs w:val="22"/>
        </w:rPr>
      </w:pPr>
      <w:r w:rsidRPr="003574B3">
        <w:rPr>
          <w:rFonts w:ascii="ShangralaW90-Regular" w:hAnsi="ShangralaW90-Regular"/>
          <w:sz w:val="22"/>
          <w:szCs w:val="22"/>
        </w:rPr>
        <w:t xml:space="preserve">Data from Indonesia's Ministry of Investment demonstrated that Malaysia began to invest in Riau Islands in 1998. It was almost ten years since the announcement of Sijori-GT in 1989. Initially, Malaysia invested in Riau Islands in equipment, machinery, the electrical and electronic industry which was followed by investment in the tertiary sector in 1999. In 2000, Malaysia invested in equipment, machinery, electrical and electronic sectors again and invested in the rubber and plastic sector in 2001. From 2002 to 2005, Malaysia did not invest in Riau Islands. Malaysia's manufacturing FDI then surpassed its FDI in non-manufacturing from 2007 to 2012. However, Malaysia largely invested in the </w:t>
      </w:r>
      <w:r w:rsidRPr="003574B3">
        <w:rPr>
          <w:rFonts w:ascii="ShangralaW90-Regular" w:hAnsi="ShangralaW90-Regular"/>
          <w:sz w:val="22"/>
          <w:szCs w:val="22"/>
        </w:rPr>
        <w:lastRenderedPageBreak/>
        <w:t>non-manufacturing sector in Riau Islands from 2015 to 2019, making its investment in the non</w:t>
      </w:r>
      <w:r w:rsidR="005B2DED">
        <w:rPr>
          <w:rFonts w:ascii="ShangralaW90-Regular" w:hAnsi="ShangralaW90-Regular"/>
          <w:sz w:val="22"/>
          <w:szCs w:val="22"/>
        </w:rPr>
        <w:t>-</w:t>
      </w:r>
      <w:r w:rsidRPr="003574B3">
        <w:rPr>
          <w:rFonts w:ascii="ShangralaW90-Regular" w:hAnsi="ShangralaW90-Regular"/>
          <w:sz w:val="22"/>
          <w:szCs w:val="22"/>
        </w:rPr>
        <w:t xml:space="preserve">manufacturing sector surpassed its manufacturing FDI (Figure </w:t>
      </w:r>
      <w:r w:rsidR="00D06EE5">
        <w:rPr>
          <w:rFonts w:ascii="ShangralaW90-Regular" w:hAnsi="ShangralaW90-Regular"/>
          <w:sz w:val="22"/>
          <w:szCs w:val="22"/>
        </w:rPr>
        <w:t>7</w:t>
      </w:r>
      <w:r w:rsidRPr="003574B3">
        <w:rPr>
          <w:rFonts w:ascii="ShangralaW90-Regular" w:hAnsi="ShangralaW90-Regular"/>
          <w:sz w:val="22"/>
          <w:szCs w:val="22"/>
        </w:rPr>
        <w:t xml:space="preserve">). </w:t>
      </w:r>
    </w:p>
    <w:p w14:paraId="5B55A48B" w14:textId="77777777" w:rsidR="003574B3" w:rsidRDefault="003461B6" w:rsidP="003574B3">
      <w:pPr>
        <w:tabs>
          <w:tab w:val="left" w:pos="3450"/>
        </w:tabs>
        <w:spacing w:line="276" w:lineRule="auto"/>
        <w:jc w:val="center"/>
        <w:rPr>
          <w:rFonts w:ascii="ShangralaW90-Regular" w:hAnsi="ShangralaW90-Regular"/>
          <w:b/>
          <w:bCs/>
          <w:i/>
          <w:sz w:val="22"/>
          <w:szCs w:val="22"/>
        </w:rPr>
      </w:pPr>
      <w:r>
        <w:rPr>
          <w:noProof/>
        </w:rPr>
        <w:drawing>
          <wp:inline distT="0" distB="0" distL="0" distR="0" wp14:anchorId="5A4DB8E9" wp14:editId="72BBB4E8">
            <wp:extent cx="4518627" cy="256902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518627" cy="2569029"/>
                    </a:xfrm>
                    <a:prstGeom prst="rect">
                      <a:avLst/>
                    </a:prstGeom>
                    <a:noFill/>
                    <a:ln>
                      <a:noFill/>
                    </a:ln>
                  </pic:spPr>
                </pic:pic>
              </a:graphicData>
            </a:graphic>
          </wp:inline>
        </w:drawing>
      </w:r>
    </w:p>
    <w:p w14:paraId="7F965A3C" w14:textId="77777777" w:rsidR="003574B3" w:rsidRPr="00AF775F" w:rsidRDefault="003461B6" w:rsidP="003574B3">
      <w:pPr>
        <w:tabs>
          <w:tab w:val="left" w:pos="3450"/>
        </w:tabs>
        <w:spacing w:line="276" w:lineRule="auto"/>
        <w:jc w:val="center"/>
        <w:rPr>
          <w:rFonts w:ascii="ShangralaW90-Regular" w:hAnsi="ShangralaW90-Regular"/>
          <w:bCs/>
          <w:sz w:val="22"/>
          <w:szCs w:val="22"/>
        </w:rPr>
      </w:pPr>
      <w:r w:rsidRPr="00AF775F">
        <w:rPr>
          <w:rFonts w:ascii="ShangralaW90-Regular" w:hAnsi="ShangralaW90-Regular"/>
          <w:bCs/>
          <w:i/>
          <w:sz w:val="22"/>
          <w:szCs w:val="22"/>
        </w:rPr>
        <w:t xml:space="preserve">Figure </w:t>
      </w:r>
      <w:r w:rsidR="00D06EE5">
        <w:rPr>
          <w:rFonts w:ascii="ShangralaW90-Regular" w:hAnsi="ShangralaW90-Regular"/>
          <w:bCs/>
          <w:i/>
          <w:sz w:val="22"/>
          <w:szCs w:val="22"/>
        </w:rPr>
        <w:t>7</w:t>
      </w:r>
      <w:r w:rsidRPr="00AF775F">
        <w:rPr>
          <w:rFonts w:ascii="ShangralaW90-Regular" w:hAnsi="ShangralaW90-Regular"/>
          <w:bCs/>
          <w:sz w:val="22"/>
          <w:szCs w:val="22"/>
        </w:rPr>
        <w:t xml:space="preserve">. Malaysia's Sectoral FDIs in Riau Islands (Left) </w:t>
      </w:r>
    </w:p>
    <w:p w14:paraId="4610A5A9" w14:textId="77777777" w:rsidR="003574B3" w:rsidRDefault="003461B6" w:rsidP="003574B3">
      <w:pPr>
        <w:tabs>
          <w:tab w:val="left" w:pos="3450"/>
        </w:tabs>
        <w:spacing w:line="276" w:lineRule="auto"/>
        <w:jc w:val="center"/>
        <w:rPr>
          <w:rFonts w:ascii="ShangralaW90-Regular" w:hAnsi="ShangralaW90-Regular"/>
          <w:bCs/>
          <w:sz w:val="22"/>
          <w:szCs w:val="22"/>
        </w:rPr>
      </w:pPr>
      <w:r w:rsidRPr="003574B3">
        <w:rPr>
          <w:rFonts w:ascii="ShangralaW90-Regular" w:hAnsi="ShangralaW90-Regular"/>
          <w:bCs/>
          <w:sz w:val="22"/>
          <w:szCs w:val="22"/>
        </w:rPr>
        <w:t>(</w:t>
      </w:r>
      <w:r w:rsidR="00AF775F">
        <w:rPr>
          <w:rFonts w:ascii="ShangralaW90-Regular" w:hAnsi="ShangralaW90-Regular"/>
          <w:bCs/>
          <w:sz w:val="22"/>
          <w:szCs w:val="22"/>
        </w:rPr>
        <w:t xml:space="preserve">Source: </w:t>
      </w:r>
      <w:r w:rsidRPr="00D06EE5">
        <w:rPr>
          <w:rFonts w:ascii="ShangralaW90-Regular" w:hAnsi="ShangralaW90-Regular"/>
          <w:bCs/>
          <w:sz w:val="22"/>
          <w:szCs w:val="22"/>
          <w:highlight w:val="green"/>
        </w:rPr>
        <w:t>Authors</w:t>
      </w:r>
      <w:r w:rsidR="00D06EE5" w:rsidRPr="00D06EE5">
        <w:rPr>
          <w:rFonts w:ascii="ShangralaW90-Regular" w:hAnsi="ShangralaW90-Regular"/>
          <w:bCs/>
          <w:sz w:val="22"/>
          <w:szCs w:val="22"/>
          <w:highlight w:val="green"/>
        </w:rPr>
        <w:t>’</w:t>
      </w:r>
      <w:r w:rsidRPr="003574B3">
        <w:rPr>
          <w:rFonts w:ascii="ShangralaW90-Regular" w:hAnsi="ShangralaW90-Regular"/>
          <w:bCs/>
          <w:sz w:val="22"/>
          <w:szCs w:val="22"/>
        </w:rPr>
        <w:t xml:space="preserve"> compilation based on data from </w:t>
      </w:r>
      <w:r w:rsidRPr="003574B3">
        <w:rPr>
          <w:rFonts w:ascii="ShangralaW90-Regular" w:hAnsi="ShangralaW90-Regular"/>
          <w:bCs/>
          <w:sz w:val="22"/>
          <w:szCs w:val="22"/>
        </w:rPr>
        <w:fldChar w:fldCharType="begin" w:fldLock="1"/>
      </w:r>
      <w:r w:rsidRPr="003574B3">
        <w:rPr>
          <w:rFonts w:ascii="ShangralaW90-Regular" w:hAnsi="ShangralaW90-Regular"/>
          <w:bCs/>
          <w:sz w:val="22"/>
          <w:szCs w:val="22"/>
        </w:rPr>
        <w:instrText>ADDIN CSL_CITATION {"citationItems":[{"id":"ITEM-1","itemData":{"URL":"https://nswi.bkpm.go.id/data_statistik","author":[{"dropping-particle":"","family":"NSWiMinistryofInvestment","given":"","non-dropping-particle":"","parse-names":false,"suffix":""}],"id":"ITEM-1","issued":{"date-parts":[["0"]]},"title":"Perkembangan Investasi 1990-2020","type":"webpage"},"uris":["http://www.mendeley.com/documents/?uuid=d4883eed-530c-4217-8fda-d3e334488561"]}],"mendeley":{"formattedCitation":"(NSWiMinistryofInvestment, n.d.)","manualFormatting":"NSWi Ministry of Investment (n.d.)","plainTextFormattedCitation":"(NSWiMinistryofInvestment, n.d.)","previouslyFormattedCitation":"(NSWiMinistryofInvestment, n.d.)"},"properties":{"noteIndex":0},"schema":"https://github.com/citation-style-language/schema/raw/master/csl-citation.json"}</w:instrText>
      </w:r>
      <w:r w:rsidRPr="003574B3">
        <w:rPr>
          <w:rFonts w:ascii="ShangralaW90-Regular" w:hAnsi="ShangralaW90-Regular"/>
          <w:bCs/>
          <w:sz w:val="22"/>
          <w:szCs w:val="22"/>
        </w:rPr>
        <w:fldChar w:fldCharType="separate"/>
      </w:r>
      <w:r w:rsidRPr="003574B3">
        <w:rPr>
          <w:rFonts w:ascii="ShangralaW90-Regular" w:hAnsi="ShangralaW90-Regular"/>
          <w:bCs/>
          <w:noProof/>
          <w:sz w:val="22"/>
          <w:szCs w:val="22"/>
        </w:rPr>
        <w:t>NSWi Ministry of Investment (n.d.)</w:t>
      </w:r>
      <w:r w:rsidRPr="003574B3">
        <w:rPr>
          <w:rFonts w:ascii="ShangralaW90-Regular" w:hAnsi="ShangralaW90-Regular"/>
          <w:bCs/>
          <w:sz w:val="22"/>
          <w:szCs w:val="22"/>
        </w:rPr>
        <w:fldChar w:fldCharType="end"/>
      </w:r>
      <w:r w:rsidRPr="003574B3">
        <w:rPr>
          <w:rFonts w:ascii="ShangralaW90-Regular" w:hAnsi="ShangralaW90-Regular"/>
          <w:bCs/>
          <w:sz w:val="22"/>
          <w:szCs w:val="22"/>
        </w:rPr>
        <w:t>)</w:t>
      </w:r>
    </w:p>
    <w:p w14:paraId="07B01399" w14:textId="77777777" w:rsidR="00770FF8" w:rsidRDefault="00770FF8" w:rsidP="003574B3">
      <w:pPr>
        <w:tabs>
          <w:tab w:val="left" w:pos="3450"/>
        </w:tabs>
        <w:spacing w:line="276" w:lineRule="auto"/>
        <w:jc w:val="center"/>
        <w:rPr>
          <w:rFonts w:ascii="ShangralaW90-Regular" w:hAnsi="ShangralaW90-Regular"/>
          <w:bCs/>
          <w:sz w:val="22"/>
          <w:szCs w:val="22"/>
        </w:rPr>
      </w:pPr>
    </w:p>
    <w:p w14:paraId="7B5C35FA" w14:textId="47E0E976" w:rsidR="003574B3" w:rsidRPr="004212FA" w:rsidRDefault="00412070" w:rsidP="004212FA">
      <w:pPr>
        <w:pStyle w:val="Body"/>
        <w:spacing w:after="240"/>
        <w:ind w:firstLine="540"/>
        <w:jc w:val="both"/>
        <w:rPr>
          <w:rFonts w:ascii="ShangralaW90-Regular" w:hAnsi="ShangralaW90-Regular"/>
        </w:rPr>
      </w:pPr>
      <w:r w:rsidRPr="003574B3">
        <w:rPr>
          <w:rFonts w:ascii="ShangralaW90-Regular" w:eastAsia="Times New Roman" w:hAnsi="ShangralaW90-Regular"/>
        </w:rPr>
        <w:t>The independent sample t-test was conducted to compare Malaysia's FDI in the manufacturing and non-manufacturing sector in Riau Islands. The computed F value of manufacturing and non-manufacturing FDI in the Riau Islands under the assumption of equal variances (</w:t>
      </w:r>
      <w:proofErr w:type="spellStart"/>
      <w:r w:rsidRPr="006C19F2">
        <w:rPr>
          <w:rFonts w:ascii="ShangralaW90-Regular" w:eastAsia="Times New Roman" w:hAnsi="ShangralaW90-Regular"/>
          <w:highlight w:val="green"/>
        </w:rPr>
        <w:t>Levene’s</w:t>
      </w:r>
      <w:proofErr w:type="spellEnd"/>
      <w:r w:rsidRPr="006C19F2">
        <w:rPr>
          <w:rFonts w:ascii="ShangralaW90-Regular" w:eastAsia="Times New Roman" w:hAnsi="ShangralaW90-Regular"/>
          <w:highlight w:val="green"/>
        </w:rPr>
        <w:t xml:space="preserve"> test</w:t>
      </w:r>
      <w:r w:rsidRPr="003574B3">
        <w:rPr>
          <w:rFonts w:ascii="ShangralaW90-Regular" w:eastAsia="Times New Roman" w:hAnsi="ShangralaW90-Regular"/>
        </w:rPr>
        <w:t xml:space="preserve">) </w:t>
      </w:r>
      <w:r w:rsidRPr="00745710">
        <w:rPr>
          <w:rFonts w:ascii="ShangralaW90-Regular" w:eastAsia="Times New Roman" w:hAnsi="ShangralaW90-Regular"/>
          <w:highlight w:val="green"/>
        </w:rPr>
        <w:t>is</w:t>
      </w:r>
      <w:r w:rsidRPr="003574B3">
        <w:rPr>
          <w:rFonts w:ascii="ShangralaW90-Regular" w:eastAsia="Times New Roman" w:hAnsi="ShangralaW90-Regular"/>
        </w:rPr>
        <w:t xml:space="preserve"> 5.745 and the p-value </w:t>
      </w:r>
      <w:r w:rsidRPr="00745710">
        <w:rPr>
          <w:rFonts w:ascii="ShangralaW90-Regular" w:eastAsia="Times New Roman" w:hAnsi="ShangralaW90-Regular"/>
          <w:highlight w:val="green"/>
        </w:rPr>
        <w:t>is</w:t>
      </w:r>
      <w:r w:rsidRPr="003574B3">
        <w:rPr>
          <w:rFonts w:ascii="ShangralaW90-Regular" w:eastAsia="Times New Roman" w:hAnsi="ShangralaW90-Regular"/>
        </w:rPr>
        <w:t xml:space="preserve"> 0.020, </w:t>
      </w:r>
      <w:r w:rsidRPr="00745710">
        <w:rPr>
          <w:rFonts w:ascii="ShangralaW90-Regular" w:eastAsia="Times New Roman" w:hAnsi="ShangralaW90-Regular"/>
          <w:highlight w:val="green"/>
        </w:rPr>
        <w:t>which is</w:t>
      </w:r>
      <w:r w:rsidRPr="003574B3">
        <w:rPr>
          <w:rFonts w:ascii="ShangralaW90-Regular" w:eastAsia="Times New Roman" w:hAnsi="ShangralaW90-Regular"/>
        </w:rPr>
        <w:t xml:space="preserve"> less than the 0.05 significance level (</w:t>
      </w:r>
      <w:r w:rsidRPr="005470CB">
        <w:rPr>
          <w:rFonts w:ascii="ShangralaW90-Regular" w:eastAsia="Times New Roman" w:hAnsi="ShangralaW90-Regular"/>
          <w:highlight w:val="green"/>
        </w:rPr>
        <w:t>Table 6), meaning</w:t>
      </w:r>
      <w:r w:rsidRPr="003574B3">
        <w:rPr>
          <w:rFonts w:ascii="ShangralaW90-Regular" w:eastAsia="Times New Roman" w:hAnsi="ShangralaW90-Regular"/>
        </w:rPr>
        <w:t xml:space="preserve"> variances of Malaysia’s manufacturing and non-manufacturing FDI </w:t>
      </w:r>
      <w:r w:rsidRPr="00745710">
        <w:rPr>
          <w:rFonts w:ascii="ShangralaW90-Regular" w:eastAsia="Times New Roman" w:hAnsi="ShangralaW90-Regular"/>
          <w:highlight w:val="green"/>
        </w:rPr>
        <w:t>are</w:t>
      </w:r>
      <w:r w:rsidRPr="003574B3">
        <w:rPr>
          <w:rFonts w:ascii="ShangralaW90-Regular" w:eastAsia="Times New Roman" w:hAnsi="ShangralaW90-Regular"/>
        </w:rPr>
        <w:t xml:space="preserve"> significantly different. Thus, </w:t>
      </w:r>
      <w:r w:rsidRPr="00745710">
        <w:rPr>
          <w:rFonts w:ascii="ShangralaW90-Regular" w:eastAsia="Times New Roman" w:hAnsi="ShangralaW90-Regular"/>
          <w:highlight w:val="green"/>
        </w:rPr>
        <w:t>authors</w:t>
      </w:r>
      <w:r w:rsidRPr="003574B3">
        <w:rPr>
          <w:rFonts w:ascii="ShangralaW90-Regular" w:eastAsia="Times New Roman" w:hAnsi="ShangralaW90-Regular"/>
        </w:rPr>
        <w:t xml:space="preserve"> accepted H</w:t>
      </w:r>
      <w:r w:rsidRPr="003574B3">
        <w:rPr>
          <w:rFonts w:ascii="ShangralaW90-Regular" w:eastAsia="Times New Roman" w:hAnsi="ShangralaW90-Regular"/>
          <w:vertAlign w:val="subscript"/>
        </w:rPr>
        <w:t>1</w:t>
      </w:r>
      <w:r w:rsidRPr="003574B3">
        <w:rPr>
          <w:rFonts w:ascii="ShangralaW90-Regular" w:eastAsia="Times New Roman" w:hAnsi="ShangralaW90-Regular"/>
        </w:rPr>
        <w:t xml:space="preserve">, that is </w:t>
      </w:r>
      <w:r w:rsidRPr="003574B3">
        <w:rPr>
          <w:rFonts w:ascii="ShangralaW90-Regular" w:hAnsi="ShangralaW90-Regular"/>
        </w:rPr>
        <w:t xml:space="preserve">Malaysia's manufacturing FDI in the Riau islands </w:t>
      </w:r>
      <w:r w:rsidRPr="00745710">
        <w:rPr>
          <w:rFonts w:ascii="ShangralaW90-Regular" w:hAnsi="ShangralaW90-Regular"/>
          <w:highlight w:val="green"/>
        </w:rPr>
        <w:t>is</w:t>
      </w:r>
      <w:r>
        <w:rPr>
          <w:rFonts w:ascii="ShangralaW90-Regular" w:hAnsi="ShangralaW90-Regular"/>
        </w:rPr>
        <w:t xml:space="preserve"> </w:t>
      </w:r>
      <w:r w:rsidRPr="003574B3">
        <w:rPr>
          <w:rFonts w:ascii="ShangralaW90-Regular" w:hAnsi="ShangralaW90-Regular"/>
        </w:rPr>
        <w:t xml:space="preserve">significantly different from Malaysia’s non-manufacturing FDI </w:t>
      </w:r>
      <w:r w:rsidRPr="003574B3">
        <w:rPr>
          <w:rFonts w:ascii="ShangralaW90-Regular" w:eastAsia="Times New Roman" w:hAnsi="ShangralaW90-Regular"/>
        </w:rPr>
        <w:t>(Hypothesis 7). The negative mean difference</w:t>
      </w:r>
      <w:r>
        <w:rPr>
          <w:rFonts w:ascii="ShangralaW90-Regular" w:eastAsia="Times New Roman" w:hAnsi="ShangralaW90-Regular"/>
        </w:rPr>
        <w:t>s</w:t>
      </w:r>
      <w:r w:rsidRPr="003574B3">
        <w:rPr>
          <w:rFonts w:ascii="ShangralaW90-Regular" w:eastAsia="Times New Roman" w:hAnsi="ShangralaW90-Regular"/>
        </w:rPr>
        <w:t xml:space="preserve"> </w:t>
      </w:r>
      <w:r w:rsidRPr="00745710">
        <w:rPr>
          <w:rFonts w:ascii="ShangralaW90-Regular" w:eastAsia="Times New Roman" w:hAnsi="ShangralaW90-Regular"/>
          <w:highlight w:val="green"/>
        </w:rPr>
        <w:t>show</w:t>
      </w:r>
      <w:r w:rsidRPr="003574B3">
        <w:rPr>
          <w:rFonts w:ascii="ShangralaW90-Regular" w:eastAsia="Times New Roman" w:hAnsi="ShangralaW90-Regular"/>
        </w:rPr>
        <w:t xml:space="preserve"> that Malaysia's investment in the non-manufacturing sector was greater than that in the manufacturing sector. It is true because</w:t>
      </w:r>
      <w:r w:rsidRPr="003574B3">
        <w:rPr>
          <w:rFonts w:ascii="ShangralaW90-Regular" w:hAnsi="ShangralaW90-Regular"/>
        </w:rPr>
        <w:t xml:space="preserve"> Malaysia invested USD 108.8 million in the manufacturing sector and USD 322.8 million in the non-manufacturing sector from 1998 to 2020.</w:t>
      </w:r>
    </w:p>
    <w:p w14:paraId="1B8FAB70" w14:textId="77777777" w:rsidR="003574B3" w:rsidRPr="00AF775F" w:rsidRDefault="003461B6" w:rsidP="003574B3">
      <w:pPr>
        <w:tabs>
          <w:tab w:val="left" w:pos="3650"/>
          <w:tab w:val="center" w:pos="4680"/>
        </w:tabs>
        <w:jc w:val="center"/>
        <w:rPr>
          <w:rFonts w:ascii="ShangralaW90-Regular" w:hAnsi="ShangralaW90-Regular"/>
          <w:i/>
          <w:sz w:val="22"/>
          <w:szCs w:val="22"/>
          <w:lang w:val="id-ID"/>
        </w:rPr>
      </w:pPr>
      <w:r w:rsidRPr="00AF775F">
        <w:rPr>
          <w:rFonts w:ascii="ShangralaW90-Regular" w:hAnsi="ShangralaW90-Regular"/>
          <w:bCs/>
          <w:sz w:val="22"/>
          <w:szCs w:val="22"/>
          <w:lang w:val="id-ID"/>
        </w:rPr>
        <w:t xml:space="preserve">Table </w:t>
      </w:r>
      <w:r w:rsidRPr="00AF775F">
        <w:rPr>
          <w:rFonts w:ascii="ShangralaW90-Regular" w:hAnsi="ShangralaW90-Regular"/>
          <w:bCs/>
          <w:sz w:val="22"/>
          <w:szCs w:val="22"/>
        </w:rPr>
        <w:t>6</w:t>
      </w:r>
      <w:r w:rsidRPr="00AF775F">
        <w:rPr>
          <w:rFonts w:ascii="ShangralaW90-Regular" w:hAnsi="ShangralaW90-Regular"/>
          <w:bCs/>
          <w:sz w:val="22"/>
          <w:szCs w:val="22"/>
          <w:lang w:val="id-ID"/>
        </w:rPr>
        <w:t>.</w:t>
      </w:r>
      <w:r w:rsidRPr="00AF775F">
        <w:rPr>
          <w:rFonts w:ascii="ShangralaW90-Regular" w:hAnsi="ShangralaW90-Regular"/>
          <w:bCs/>
          <w:sz w:val="22"/>
          <w:szCs w:val="22"/>
          <w:lang w:val="en-US"/>
        </w:rPr>
        <w:t xml:space="preserve"> </w:t>
      </w:r>
      <w:r w:rsidRPr="00AF775F">
        <w:rPr>
          <w:rFonts w:ascii="ShangralaW90-Regular" w:hAnsi="ShangralaW90-Regular"/>
          <w:i/>
          <w:sz w:val="22"/>
          <w:szCs w:val="22"/>
          <w:lang w:val="id-ID"/>
        </w:rPr>
        <w:t xml:space="preserve">The output of the Independent </w:t>
      </w:r>
      <w:r w:rsidRPr="00AF775F">
        <w:rPr>
          <w:rFonts w:ascii="ShangralaW90-Regular" w:hAnsi="ShangralaW90-Regular"/>
          <w:i/>
          <w:sz w:val="22"/>
          <w:szCs w:val="22"/>
        </w:rPr>
        <w:t xml:space="preserve">Sample </w:t>
      </w:r>
      <w:r w:rsidRPr="00AF775F">
        <w:rPr>
          <w:rFonts w:ascii="ShangralaW90-Regular" w:hAnsi="ShangralaW90-Regular"/>
          <w:i/>
          <w:sz w:val="22"/>
          <w:szCs w:val="22"/>
          <w:lang w:val="id-ID"/>
        </w:rPr>
        <w:t>t-Test  for Mean Comparison of Malaysia’s Sectoral FDI</w:t>
      </w:r>
      <w:r w:rsidRPr="00AF775F">
        <w:rPr>
          <w:rFonts w:ascii="ShangralaW90-Regular" w:hAnsi="ShangralaW90-Regular"/>
          <w:i/>
          <w:sz w:val="22"/>
          <w:szCs w:val="22"/>
        </w:rPr>
        <w:t>s</w:t>
      </w:r>
      <w:r w:rsidRPr="00AF775F">
        <w:rPr>
          <w:rFonts w:ascii="ShangralaW90-Regular" w:hAnsi="ShangralaW90-Regular"/>
          <w:i/>
          <w:sz w:val="22"/>
          <w:szCs w:val="22"/>
          <w:lang w:val="id-ID"/>
        </w:rPr>
        <w:t xml:space="preserve"> in the Riau Islands</w:t>
      </w:r>
    </w:p>
    <w:p w14:paraId="71B0A5A7" w14:textId="77777777" w:rsidR="003574B3" w:rsidRDefault="003574B3" w:rsidP="003574B3">
      <w:pPr>
        <w:tabs>
          <w:tab w:val="left" w:pos="3650"/>
          <w:tab w:val="center" w:pos="4680"/>
        </w:tabs>
        <w:jc w:val="center"/>
        <w:rPr>
          <w:rFonts w:ascii="ShangralaW90-Regular" w:hAnsi="ShangralaW90-Regular"/>
          <w:b/>
          <w:bCs/>
          <w:sz w:val="22"/>
          <w:szCs w:val="22"/>
          <w:lang w:val="id-ID"/>
        </w:rPr>
      </w:pPr>
    </w:p>
    <w:tbl>
      <w:tblPr>
        <w:tblStyle w:val="TableGrid"/>
        <w:tblW w:w="8905" w:type="dxa"/>
        <w:jc w:val="center"/>
        <w:tblLook w:val="04A0" w:firstRow="1" w:lastRow="0" w:firstColumn="1" w:lastColumn="0" w:noHBand="0" w:noVBand="1"/>
      </w:tblPr>
      <w:tblGrid>
        <w:gridCol w:w="1521"/>
        <w:gridCol w:w="1729"/>
        <w:gridCol w:w="758"/>
        <w:gridCol w:w="604"/>
        <w:gridCol w:w="713"/>
        <w:gridCol w:w="935"/>
        <w:gridCol w:w="1550"/>
        <w:gridCol w:w="1095"/>
      </w:tblGrid>
      <w:tr w:rsidR="00A34600" w:rsidRPr="00412070" w14:paraId="66B37D6D" w14:textId="77777777" w:rsidTr="003574B3">
        <w:trPr>
          <w:trHeight w:val="303"/>
          <w:jc w:val="center"/>
        </w:trPr>
        <w:tc>
          <w:tcPr>
            <w:tcW w:w="3250" w:type="dxa"/>
            <w:gridSpan w:val="2"/>
            <w:vMerge w:val="restart"/>
            <w:tcBorders>
              <w:right w:val="nil"/>
            </w:tcBorders>
            <w:vAlign w:val="center"/>
          </w:tcPr>
          <w:p w14:paraId="20CFD9D4"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Parameter</w:t>
            </w:r>
          </w:p>
        </w:tc>
        <w:tc>
          <w:tcPr>
            <w:tcW w:w="1362" w:type="dxa"/>
            <w:gridSpan w:val="2"/>
            <w:tcBorders>
              <w:left w:val="nil"/>
              <w:right w:val="nil"/>
            </w:tcBorders>
            <w:vAlign w:val="center"/>
          </w:tcPr>
          <w:p w14:paraId="60E44BB1"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highlight w:val="green"/>
                <w:lang w:val="id-ID"/>
              </w:rPr>
              <w:t>L</w:t>
            </w:r>
            <w:r w:rsidR="005A1257" w:rsidRPr="00412070">
              <w:rPr>
                <w:rFonts w:ascii="ShangralaW90-Regular" w:hAnsi="ShangralaW90-Regular"/>
                <w:sz w:val="20"/>
                <w:szCs w:val="20"/>
                <w:highlight w:val="green"/>
                <w:lang w:val="en-US"/>
              </w:rPr>
              <w:t>e</w:t>
            </w:r>
            <w:r w:rsidRPr="00412070">
              <w:rPr>
                <w:rFonts w:ascii="ShangralaW90-Regular" w:hAnsi="ShangralaW90-Regular"/>
                <w:sz w:val="20"/>
                <w:szCs w:val="20"/>
                <w:highlight w:val="green"/>
                <w:lang w:val="id-ID"/>
              </w:rPr>
              <w:t>vene’s test</w:t>
            </w:r>
          </w:p>
        </w:tc>
        <w:tc>
          <w:tcPr>
            <w:tcW w:w="4293" w:type="dxa"/>
            <w:gridSpan w:val="4"/>
            <w:tcBorders>
              <w:left w:val="nil"/>
            </w:tcBorders>
            <w:vAlign w:val="center"/>
          </w:tcPr>
          <w:p w14:paraId="3138AF8D"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The t-test for equality means</w:t>
            </w:r>
          </w:p>
        </w:tc>
      </w:tr>
      <w:tr w:rsidR="00A34600" w:rsidRPr="00412070" w14:paraId="37D5555F" w14:textId="77777777" w:rsidTr="003574B3">
        <w:trPr>
          <w:trHeight w:val="589"/>
          <w:jc w:val="center"/>
        </w:trPr>
        <w:tc>
          <w:tcPr>
            <w:tcW w:w="3250" w:type="dxa"/>
            <w:gridSpan w:val="2"/>
            <w:vMerge/>
            <w:tcBorders>
              <w:bottom w:val="single" w:sz="4" w:space="0" w:color="auto"/>
              <w:right w:val="nil"/>
            </w:tcBorders>
            <w:vAlign w:val="center"/>
          </w:tcPr>
          <w:p w14:paraId="0EDFAA33" w14:textId="77777777" w:rsidR="003574B3" w:rsidRPr="00412070" w:rsidRDefault="003574B3" w:rsidP="00414A6E">
            <w:pPr>
              <w:jc w:val="center"/>
              <w:rPr>
                <w:rFonts w:ascii="ShangralaW90-Regular" w:hAnsi="ShangralaW90-Regular"/>
                <w:sz w:val="20"/>
                <w:szCs w:val="20"/>
                <w:lang w:val="id-ID"/>
              </w:rPr>
            </w:pPr>
          </w:p>
        </w:tc>
        <w:tc>
          <w:tcPr>
            <w:tcW w:w="758" w:type="dxa"/>
            <w:tcBorders>
              <w:left w:val="nil"/>
              <w:bottom w:val="single" w:sz="4" w:space="0" w:color="auto"/>
              <w:right w:val="nil"/>
            </w:tcBorders>
            <w:vAlign w:val="center"/>
          </w:tcPr>
          <w:p w14:paraId="359113B6"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F</w:t>
            </w:r>
          </w:p>
        </w:tc>
        <w:tc>
          <w:tcPr>
            <w:tcW w:w="604" w:type="dxa"/>
            <w:tcBorders>
              <w:left w:val="nil"/>
              <w:bottom w:val="single" w:sz="4" w:space="0" w:color="auto"/>
              <w:right w:val="nil"/>
            </w:tcBorders>
            <w:vAlign w:val="center"/>
          </w:tcPr>
          <w:p w14:paraId="19ADF4E7"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Sig</w:t>
            </w:r>
          </w:p>
        </w:tc>
        <w:tc>
          <w:tcPr>
            <w:tcW w:w="713" w:type="dxa"/>
            <w:tcBorders>
              <w:left w:val="nil"/>
              <w:bottom w:val="single" w:sz="4" w:space="0" w:color="auto"/>
              <w:right w:val="nil"/>
            </w:tcBorders>
            <w:vAlign w:val="center"/>
          </w:tcPr>
          <w:p w14:paraId="4198F5D8"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t</w:t>
            </w:r>
          </w:p>
        </w:tc>
        <w:tc>
          <w:tcPr>
            <w:tcW w:w="935" w:type="dxa"/>
            <w:tcBorders>
              <w:left w:val="nil"/>
              <w:bottom w:val="single" w:sz="4" w:space="0" w:color="auto"/>
              <w:right w:val="nil"/>
            </w:tcBorders>
            <w:vAlign w:val="center"/>
          </w:tcPr>
          <w:p w14:paraId="241C3497"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Sig (2-tailed)</w:t>
            </w:r>
          </w:p>
        </w:tc>
        <w:tc>
          <w:tcPr>
            <w:tcW w:w="1550" w:type="dxa"/>
            <w:tcBorders>
              <w:left w:val="nil"/>
              <w:bottom w:val="single" w:sz="4" w:space="0" w:color="auto"/>
              <w:right w:val="nil"/>
            </w:tcBorders>
            <w:vAlign w:val="center"/>
          </w:tcPr>
          <w:p w14:paraId="691A4584"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Mean Diff (Thousand USD)</w:t>
            </w:r>
          </w:p>
        </w:tc>
        <w:tc>
          <w:tcPr>
            <w:tcW w:w="1095" w:type="dxa"/>
            <w:tcBorders>
              <w:left w:val="nil"/>
              <w:bottom w:val="single" w:sz="4" w:space="0" w:color="auto"/>
            </w:tcBorders>
            <w:vAlign w:val="center"/>
          </w:tcPr>
          <w:p w14:paraId="2FE9CFCA"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Std. Error Diff</w:t>
            </w:r>
          </w:p>
        </w:tc>
      </w:tr>
      <w:tr w:rsidR="00A34600" w:rsidRPr="00412070" w14:paraId="371A9009" w14:textId="77777777" w:rsidTr="003574B3">
        <w:trPr>
          <w:trHeight w:val="589"/>
          <w:jc w:val="center"/>
        </w:trPr>
        <w:tc>
          <w:tcPr>
            <w:tcW w:w="8905" w:type="dxa"/>
            <w:gridSpan w:val="8"/>
            <w:tcBorders>
              <w:bottom w:val="nil"/>
            </w:tcBorders>
            <w:vAlign w:val="center"/>
          </w:tcPr>
          <w:p w14:paraId="0E38E0F3" w14:textId="77777777" w:rsidR="003574B3" w:rsidRPr="00412070" w:rsidRDefault="003461B6" w:rsidP="00414A6E">
            <w:pPr>
              <w:rPr>
                <w:rFonts w:ascii="ShangralaW90-Regular" w:hAnsi="ShangralaW90-Regular"/>
                <w:sz w:val="20"/>
                <w:szCs w:val="20"/>
              </w:rPr>
            </w:pPr>
            <w:r w:rsidRPr="00412070">
              <w:rPr>
                <w:rFonts w:ascii="ShangralaW90-Regular" w:hAnsi="ShangralaW90-Regular"/>
                <w:sz w:val="20"/>
                <w:szCs w:val="20"/>
              </w:rPr>
              <w:t>Malaysia’s Sectoral FDI in Riau Islands</w:t>
            </w:r>
          </w:p>
        </w:tc>
      </w:tr>
      <w:tr w:rsidR="00A34600" w:rsidRPr="00412070" w14:paraId="35E30F49" w14:textId="77777777" w:rsidTr="003574B3">
        <w:trPr>
          <w:trHeight w:val="731"/>
          <w:jc w:val="center"/>
        </w:trPr>
        <w:tc>
          <w:tcPr>
            <w:tcW w:w="1521" w:type="dxa"/>
            <w:vMerge w:val="restart"/>
            <w:tcBorders>
              <w:top w:val="nil"/>
              <w:bottom w:val="nil"/>
              <w:right w:val="nil"/>
            </w:tcBorders>
          </w:tcPr>
          <w:p w14:paraId="1114873C" w14:textId="77777777" w:rsidR="003574B3" w:rsidRPr="00412070" w:rsidRDefault="003461B6" w:rsidP="00414A6E">
            <w:pPr>
              <w:jc w:val="center"/>
              <w:rPr>
                <w:rFonts w:ascii="ShangralaW90-Regular" w:hAnsi="ShangralaW90-Regular"/>
                <w:sz w:val="20"/>
                <w:szCs w:val="20"/>
              </w:rPr>
            </w:pPr>
            <w:r w:rsidRPr="00412070">
              <w:rPr>
                <w:rFonts w:ascii="ShangralaW90-Regular" w:hAnsi="ShangralaW90-Regular"/>
                <w:sz w:val="20"/>
                <w:szCs w:val="20"/>
                <w:lang w:val="id-ID"/>
              </w:rPr>
              <w:t xml:space="preserve">Manufacturing </w:t>
            </w:r>
            <w:r w:rsidRPr="00412070">
              <w:rPr>
                <w:rFonts w:ascii="ShangralaW90-Regular" w:hAnsi="ShangralaW90-Regular"/>
                <w:sz w:val="20"/>
                <w:szCs w:val="20"/>
              </w:rPr>
              <w:t xml:space="preserve">(n: 31) </w:t>
            </w:r>
            <w:r w:rsidRPr="00412070">
              <w:rPr>
                <w:rFonts w:ascii="ShangralaW90-Regular" w:hAnsi="ShangralaW90-Regular"/>
                <w:sz w:val="20"/>
                <w:szCs w:val="20"/>
                <w:lang w:val="id-ID"/>
              </w:rPr>
              <w:t>vs Non-Manufacturing</w:t>
            </w:r>
            <w:r w:rsidRPr="00412070">
              <w:rPr>
                <w:rFonts w:ascii="ShangralaW90-Regular" w:hAnsi="ShangralaW90-Regular"/>
                <w:sz w:val="20"/>
                <w:szCs w:val="20"/>
              </w:rPr>
              <w:t xml:space="preserve"> (n: 31)</w:t>
            </w:r>
          </w:p>
        </w:tc>
        <w:tc>
          <w:tcPr>
            <w:tcW w:w="1729" w:type="dxa"/>
            <w:tcBorders>
              <w:top w:val="nil"/>
              <w:left w:val="nil"/>
              <w:bottom w:val="nil"/>
              <w:right w:val="nil"/>
            </w:tcBorders>
          </w:tcPr>
          <w:p w14:paraId="5B94B3BB" w14:textId="77777777" w:rsidR="003574B3" w:rsidRPr="00412070" w:rsidRDefault="003461B6" w:rsidP="00414A6E">
            <w:pPr>
              <w:rPr>
                <w:rFonts w:ascii="ShangralaW90-Regular" w:hAnsi="ShangralaW90-Regular"/>
                <w:sz w:val="20"/>
                <w:szCs w:val="20"/>
                <w:lang w:val="id-ID"/>
              </w:rPr>
            </w:pPr>
            <w:r w:rsidRPr="00412070">
              <w:rPr>
                <w:rFonts w:ascii="ShangralaW90-Regular" w:hAnsi="ShangralaW90-Regular"/>
                <w:sz w:val="20"/>
                <w:szCs w:val="20"/>
                <w:lang w:val="id-ID"/>
              </w:rPr>
              <w:t>Equal variances assumed</w:t>
            </w:r>
          </w:p>
        </w:tc>
        <w:tc>
          <w:tcPr>
            <w:tcW w:w="758" w:type="dxa"/>
            <w:tcBorders>
              <w:top w:val="nil"/>
              <w:left w:val="nil"/>
              <w:bottom w:val="nil"/>
              <w:right w:val="nil"/>
            </w:tcBorders>
          </w:tcPr>
          <w:p w14:paraId="72BFE9D8"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5.745</w:t>
            </w:r>
          </w:p>
        </w:tc>
        <w:tc>
          <w:tcPr>
            <w:tcW w:w="604" w:type="dxa"/>
            <w:tcBorders>
              <w:top w:val="nil"/>
              <w:left w:val="nil"/>
              <w:bottom w:val="nil"/>
              <w:right w:val="nil"/>
            </w:tcBorders>
          </w:tcPr>
          <w:p w14:paraId="477AE64D" w14:textId="77777777" w:rsidR="003574B3" w:rsidRPr="00412070" w:rsidRDefault="003461B6" w:rsidP="00414A6E">
            <w:pPr>
              <w:jc w:val="center"/>
              <w:rPr>
                <w:rFonts w:ascii="ShangralaW90-Regular" w:hAnsi="ShangralaW90-Regular"/>
                <w:sz w:val="20"/>
                <w:szCs w:val="20"/>
              </w:rPr>
            </w:pPr>
            <w:r w:rsidRPr="00412070">
              <w:rPr>
                <w:rFonts w:ascii="ShangralaW90-Regular" w:hAnsi="ShangralaW90-Regular"/>
                <w:sz w:val="20"/>
                <w:szCs w:val="20"/>
                <w:lang w:val="id-ID"/>
              </w:rPr>
              <w:t>.020</w:t>
            </w:r>
          </w:p>
        </w:tc>
        <w:tc>
          <w:tcPr>
            <w:tcW w:w="713" w:type="dxa"/>
            <w:tcBorders>
              <w:top w:val="nil"/>
              <w:left w:val="nil"/>
              <w:bottom w:val="nil"/>
              <w:right w:val="nil"/>
            </w:tcBorders>
          </w:tcPr>
          <w:p w14:paraId="50E1E1ED"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-1.112</w:t>
            </w:r>
          </w:p>
        </w:tc>
        <w:tc>
          <w:tcPr>
            <w:tcW w:w="935" w:type="dxa"/>
            <w:tcBorders>
              <w:top w:val="nil"/>
              <w:left w:val="nil"/>
              <w:bottom w:val="nil"/>
              <w:right w:val="nil"/>
            </w:tcBorders>
          </w:tcPr>
          <w:p w14:paraId="04A525A8"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.271</w:t>
            </w:r>
          </w:p>
        </w:tc>
        <w:tc>
          <w:tcPr>
            <w:tcW w:w="1550" w:type="dxa"/>
            <w:tcBorders>
              <w:top w:val="nil"/>
              <w:left w:val="nil"/>
              <w:bottom w:val="nil"/>
              <w:right w:val="nil"/>
            </w:tcBorders>
          </w:tcPr>
          <w:p w14:paraId="4EA2485D" w14:textId="77777777" w:rsidR="003574B3" w:rsidRPr="00412070" w:rsidRDefault="003461B6" w:rsidP="00414A6E">
            <w:pPr>
              <w:jc w:val="center"/>
              <w:rPr>
                <w:rFonts w:ascii="ShangralaW90-Regular" w:hAnsi="ShangralaW90-Regular"/>
                <w:sz w:val="20"/>
                <w:szCs w:val="20"/>
              </w:rPr>
            </w:pPr>
            <w:r w:rsidRPr="00412070">
              <w:rPr>
                <w:rFonts w:ascii="ShangralaW90-Regular" w:hAnsi="ShangralaW90-Regular"/>
                <w:sz w:val="20"/>
                <w:szCs w:val="20"/>
                <w:lang w:val="id-ID"/>
              </w:rPr>
              <w:t>-6904.32</w:t>
            </w:r>
            <w:r w:rsidRPr="00412070">
              <w:rPr>
                <w:rFonts w:ascii="ShangralaW90-Regular" w:hAnsi="ShangralaW90-Regular"/>
                <w:sz w:val="20"/>
                <w:szCs w:val="20"/>
              </w:rPr>
              <w:t>*</w:t>
            </w:r>
          </w:p>
        </w:tc>
        <w:tc>
          <w:tcPr>
            <w:tcW w:w="1095" w:type="dxa"/>
            <w:tcBorders>
              <w:top w:val="nil"/>
              <w:left w:val="nil"/>
              <w:bottom w:val="nil"/>
            </w:tcBorders>
          </w:tcPr>
          <w:p w14:paraId="42BF09AD"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6211.51</w:t>
            </w:r>
          </w:p>
        </w:tc>
      </w:tr>
      <w:tr w:rsidR="00A34600" w:rsidRPr="00412070" w14:paraId="7AB1E081" w14:textId="77777777" w:rsidTr="003574B3">
        <w:trPr>
          <w:trHeight w:val="607"/>
          <w:jc w:val="center"/>
        </w:trPr>
        <w:tc>
          <w:tcPr>
            <w:tcW w:w="1521" w:type="dxa"/>
            <w:vMerge/>
            <w:tcBorders>
              <w:top w:val="nil"/>
              <w:right w:val="nil"/>
            </w:tcBorders>
          </w:tcPr>
          <w:p w14:paraId="62CE2A66" w14:textId="77777777" w:rsidR="003574B3" w:rsidRPr="00412070" w:rsidRDefault="003574B3" w:rsidP="00414A6E">
            <w:pPr>
              <w:jc w:val="center"/>
              <w:rPr>
                <w:rFonts w:ascii="ShangralaW90-Regular" w:hAnsi="ShangralaW90-Regular"/>
                <w:sz w:val="20"/>
                <w:szCs w:val="20"/>
                <w:lang w:val="id-ID"/>
              </w:rPr>
            </w:pPr>
          </w:p>
        </w:tc>
        <w:tc>
          <w:tcPr>
            <w:tcW w:w="1729" w:type="dxa"/>
            <w:tcBorders>
              <w:top w:val="nil"/>
              <w:left w:val="nil"/>
              <w:right w:val="nil"/>
            </w:tcBorders>
          </w:tcPr>
          <w:p w14:paraId="1A3D84D1" w14:textId="77777777" w:rsidR="003574B3" w:rsidRPr="00412070" w:rsidRDefault="003461B6" w:rsidP="00414A6E">
            <w:pPr>
              <w:rPr>
                <w:rFonts w:ascii="ShangralaW90-Regular" w:hAnsi="ShangralaW90-Regular"/>
                <w:sz w:val="20"/>
                <w:szCs w:val="20"/>
                <w:lang w:val="id-ID"/>
              </w:rPr>
            </w:pPr>
            <w:r w:rsidRPr="00412070">
              <w:rPr>
                <w:rFonts w:ascii="ShangralaW90-Regular" w:hAnsi="ShangralaW90-Regular"/>
                <w:sz w:val="20"/>
                <w:szCs w:val="20"/>
                <w:lang w:val="id-ID"/>
              </w:rPr>
              <w:t>Equal variances not assumed</w:t>
            </w:r>
          </w:p>
        </w:tc>
        <w:tc>
          <w:tcPr>
            <w:tcW w:w="758" w:type="dxa"/>
            <w:tcBorders>
              <w:top w:val="nil"/>
              <w:left w:val="nil"/>
              <w:right w:val="nil"/>
            </w:tcBorders>
          </w:tcPr>
          <w:p w14:paraId="451CFFC5" w14:textId="77777777" w:rsidR="003574B3" w:rsidRPr="00412070" w:rsidRDefault="003574B3" w:rsidP="00414A6E">
            <w:pPr>
              <w:jc w:val="center"/>
              <w:rPr>
                <w:rFonts w:ascii="ShangralaW90-Regular" w:hAnsi="ShangralaW90-Regular"/>
                <w:sz w:val="20"/>
                <w:szCs w:val="20"/>
                <w:lang w:val="id-ID"/>
              </w:rPr>
            </w:pPr>
          </w:p>
        </w:tc>
        <w:tc>
          <w:tcPr>
            <w:tcW w:w="604" w:type="dxa"/>
            <w:tcBorders>
              <w:top w:val="nil"/>
              <w:left w:val="nil"/>
              <w:right w:val="nil"/>
            </w:tcBorders>
          </w:tcPr>
          <w:p w14:paraId="048D0B1A" w14:textId="77777777" w:rsidR="003574B3" w:rsidRPr="00412070" w:rsidRDefault="003574B3" w:rsidP="00414A6E">
            <w:pPr>
              <w:jc w:val="center"/>
              <w:rPr>
                <w:rFonts w:ascii="ShangralaW90-Regular" w:hAnsi="ShangralaW90-Regular"/>
                <w:sz w:val="20"/>
                <w:szCs w:val="20"/>
                <w:lang w:val="id-ID"/>
              </w:rPr>
            </w:pPr>
          </w:p>
        </w:tc>
        <w:tc>
          <w:tcPr>
            <w:tcW w:w="713" w:type="dxa"/>
            <w:tcBorders>
              <w:top w:val="nil"/>
              <w:left w:val="nil"/>
              <w:right w:val="nil"/>
            </w:tcBorders>
          </w:tcPr>
          <w:p w14:paraId="31EF9274"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-1.112</w:t>
            </w:r>
          </w:p>
        </w:tc>
        <w:tc>
          <w:tcPr>
            <w:tcW w:w="935" w:type="dxa"/>
            <w:tcBorders>
              <w:top w:val="nil"/>
              <w:left w:val="nil"/>
              <w:right w:val="nil"/>
            </w:tcBorders>
          </w:tcPr>
          <w:p w14:paraId="4ED233D9"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.275</w:t>
            </w:r>
          </w:p>
        </w:tc>
        <w:tc>
          <w:tcPr>
            <w:tcW w:w="1550" w:type="dxa"/>
            <w:tcBorders>
              <w:top w:val="nil"/>
              <w:left w:val="nil"/>
              <w:right w:val="nil"/>
            </w:tcBorders>
          </w:tcPr>
          <w:p w14:paraId="711BDF26"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-6904.32</w:t>
            </w:r>
          </w:p>
        </w:tc>
        <w:tc>
          <w:tcPr>
            <w:tcW w:w="1095" w:type="dxa"/>
            <w:tcBorders>
              <w:top w:val="nil"/>
              <w:left w:val="nil"/>
            </w:tcBorders>
          </w:tcPr>
          <w:p w14:paraId="554CB468" w14:textId="77777777" w:rsidR="003574B3" w:rsidRPr="00412070" w:rsidRDefault="003461B6" w:rsidP="00414A6E">
            <w:pPr>
              <w:jc w:val="center"/>
              <w:rPr>
                <w:rFonts w:ascii="ShangralaW90-Regular" w:hAnsi="ShangralaW90-Regular"/>
                <w:sz w:val="20"/>
                <w:szCs w:val="20"/>
                <w:lang w:val="id-ID"/>
              </w:rPr>
            </w:pPr>
            <w:r w:rsidRPr="00412070">
              <w:rPr>
                <w:rFonts w:ascii="ShangralaW90-Regular" w:hAnsi="ShangralaW90-Regular"/>
                <w:sz w:val="20"/>
                <w:szCs w:val="20"/>
                <w:lang w:val="id-ID"/>
              </w:rPr>
              <w:t>6211.51</w:t>
            </w:r>
          </w:p>
        </w:tc>
      </w:tr>
    </w:tbl>
    <w:p w14:paraId="14FEB631" w14:textId="77777777" w:rsidR="003574B3" w:rsidRPr="003574B3" w:rsidRDefault="003461B6" w:rsidP="003574B3">
      <w:pPr>
        <w:rPr>
          <w:rFonts w:ascii="ShangralaW90-Regular" w:hAnsi="ShangralaW90-Regular"/>
          <w:sz w:val="22"/>
          <w:szCs w:val="22"/>
        </w:rPr>
      </w:pPr>
      <w:r w:rsidRPr="003574B3">
        <w:rPr>
          <w:rFonts w:ascii="ShangralaW90-Regular" w:hAnsi="ShangralaW90-Regular"/>
          <w:sz w:val="22"/>
          <w:szCs w:val="22"/>
          <w:lang w:val="id-ID"/>
        </w:rPr>
        <w:t>*The mean difference is significant at the 0.05 level</w:t>
      </w:r>
    </w:p>
    <w:p w14:paraId="0AA03D10" w14:textId="6FB4B2AB" w:rsidR="008B26C5" w:rsidRDefault="008B26C5" w:rsidP="00412070">
      <w:pPr>
        <w:spacing w:after="120" w:line="276" w:lineRule="auto"/>
        <w:jc w:val="both"/>
        <w:rPr>
          <w:rFonts w:ascii="ShangralaW90-Regular" w:hAnsi="ShangralaW90-Regular"/>
          <w:sz w:val="22"/>
          <w:szCs w:val="22"/>
        </w:rPr>
      </w:pPr>
    </w:p>
    <w:p w14:paraId="023746CE" w14:textId="391CBE2F" w:rsidR="0056112F" w:rsidRDefault="0056112F" w:rsidP="00414A6E">
      <w:pPr>
        <w:spacing w:after="240" w:line="276" w:lineRule="auto"/>
        <w:ind w:firstLine="360"/>
        <w:jc w:val="both"/>
        <w:rPr>
          <w:rFonts w:ascii="ShangralaW90-Regular" w:hAnsi="ShangralaW90-Regular"/>
          <w:sz w:val="22"/>
          <w:szCs w:val="22"/>
        </w:rPr>
      </w:pPr>
      <w:r w:rsidRPr="00163D24">
        <w:rPr>
          <w:rFonts w:ascii="ShangralaW90-Regular" w:hAnsi="ShangralaW90-Regular"/>
          <w:sz w:val="22"/>
          <w:szCs w:val="22"/>
        </w:rPr>
        <w:lastRenderedPageBreak/>
        <w:t xml:space="preserve">As stated earlier, Malaysia firstly invested USD 133 thousand in medical precision, optical instruments watch, and clocks, machinery, electrical and electronic industry in 1998. Malaysia then invested USD 4.5 million in the same sector in 2000 and USD 11.5 million in 2008. In 2020, Malaysia invested again in the sector by USD 9.3 million, lower than the investment in 2008. The second manufacturing subsector that Malaysia invested in plastics and rubber industry. Malaysia invested USD  1 million in 2001. In 2007 and 2009, Malaysia invested in the subsector but it was less than USD 1 million. Malaysia invested again by USD 1 million, USD 4.6 million, and USD 1.7 million respectively in 2011, 2019, and 2020 (Figure </w:t>
      </w:r>
      <w:r>
        <w:rPr>
          <w:rFonts w:ascii="ShangralaW90-Regular" w:hAnsi="ShangralaW90-Regular"/>
          <w:sz w:val="22"/>
          <w:szCs w:val="22"/>
        </w:rPr>
        <w:t>8</w:t>
      </w:r>
      <w:r w:rsidRPr="00163D24">
        <w:rPr>
          <w:rFonts w:ascii="ShangralaW90-Regular" w:hAnsi="ShangralaW90-Regular"/>
          <w:sz w:val="22"/>
          <w:szCs w:val="22"/>
        </w:rPr>
        <w:t xml:space="preserve">). </w:t>
      </w:r>
    </w:p>
    <w:p w14:paraId="40533853" w14:textId="77777777" w:rsidR="00163D24" w:rsidRPr="008B26C5" w:rsidRDefault="003461B6" w:rsidP="008B26C5">
      <w:pPr>
        <w:spacing w:after="120" w:line="276" w:lineRule="auto"/>
        <w:ind w:firstLine="360"/>
        <w:jc w:val="both"/>
        <w:rPr>
          <w:rFonts w:ascii="ShangralaW90-Regular" w:hAnsi="ShangralaW90-Regular"/>
          <w:sz w:val="22"/>
          <w:szCs w:val="22"/>
        </w:rPr>
      </w:pPr>
      <w:r>
        <w:rPr>
          <w:noProof/>
        </w:rPr>
        <w:drawing>
          <wp:inline distT="0" distB="0" distL="0" distR="0" wp14:anchorId="2618288F" wp14:editId="07D8CE98">
            <wp:extent cx="5727262" cy="2491105"/>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33441" cy="2493793"/>
                    </a:xfrm>
                    <a:prstGeom prst="rect">
                      <a:avLst/>
                    </a:prstGeom>
                    <a:noFill/>
                    <a:ln>
                      <a:noFill/>
                    </a:ln>
                  </pic:spPr>
                </pic:pic>
              </a:graphicData>
            </a:graphic>
          </wp:inline>
        </w:drawing>
      </w:r>
    </w:p>
    <w:p w14:paraId="53A493C1" w14:textId="77777777" w:rsidR="00163D24" w:rsidRPr="00163D24" w:rsidRDefault="003461B6" w:rsidP="00163D24">
      <w:pPr>
        <w:spacing w:line="276" w:lineRule="auto"/>
        <w:contextualSpacing/>
        <w:jc w:val="center"/>
        <w:rPr>
          <w:rFonts w:ascii="ShangralaW90-Regular" w:hAnsi="ShangralaW90-Regular"/>
          <w:sz w:val="22"/>
          <w:szCs w:val="22"/>
        </w:rPr>
      </w:pPr>
      <w:r w:rsidRPr="00AF775F">
        <w:rPr>
          <w:rFonts w:ascii="ShangralaW90-Regular" w:hAnsi="ShangralaW90-Regular"/>
          <w:i/>
          <w:sz w:val="22"/>
          <w:szCs w:val="22"/>
        </w:rPr>
        <w:t xml:space="preserve">Figure </w:t>
      </w:r>
      <w:r w:rsidR="004B53E4">
        <w:rPr>
          <w:rFonts w:ascii="ShangralaW90-Regular" w:hAnsi="ShangralaW90-Regular"/>
          <w:i/>
          <w:sz w:val="22"/>
          <w:szCs w:val="22"/>
        </w:rPr>
        <w:t>8</w:t>
      </w:r>
      <w:r w:rsidRPr="00AF775F">
        <w:rPr>
          <w:rFonts w:ascii="ShangralaW90-Regular" w:hAnsi="ShangralaW90-Regular"/>
          <w:i/>
          <w:sz w:val="22"/>
          <w:szCs w:val="22"/>
        </w:rPr>
        <w:t>.</w:t>
      </w:r>
      <w:r w:rsidRPr="00163D24">
        <w:rPr>
          <w:rFonts w:ascii="ShangralaW90-Regular" w:hAnsi="ShangralaW90-Regular"/>
          <w:b/>
          <w:sz w:val="22"/>
          <w:szCs w:val="22"/>
        </w:rPr>
        <w:t xml:space="preserve"> </w:t>
      </w:r>
      <w:r w:rsidRPr="00163D24">
        <w:rPr>
          <w:rFonts w:ascii="ShangralaW90-Regular" w:hAnsi="ShangralaW90-Regular"/>
          <w:sz w:val="22"/>
          <w:szCs w:val="22"/>
        </w:rPr>
        <w:t>Malaysia’s FDI in Manufacturing Subsectors in Riau Islands</w:t>
      </w:r>
    </w:p>
    <w:p w14:paraId="6BC53784" w14:textId="77777777" w:rsidR="00163D24" w:rsidRDefault="003461B6" w:rsidP="00163D24">
      <w:pPr>
        <w:spacing w:line="276" w:lineRule="auto"/>
        <w:contextualSpacing/>
        <w:jc w:val="center"/>
        <w:rPr>
          <w:rFonts w:ascii="ShangralaW90-Regular" w:hAnsi="ShangralaW90-Regular"/>
          <w:bCs/>
          <w:sz w:val="22"/>
          <w:szCs w:val="22"/>
        </w:rPr>
      </w:pPr>
      <w:r w:rsidRPr="00163D24">
        <w:rPr>
          <w:rFonts w:ascii="ShangralaW90-Regular" w:hAnsi="ShangralaW90-Regular"/>
          <w:bCs/>
          <w:sz w:val="22"/>
          <w:szCs w:val="22"/>
        </w:rPr>
        <w:t>(</w:t>
      </w:r>
      <w:r w:rsidR="00AF775F">
        <w:rPr>
          <w:rFonts w:ascii="ShangralaW90-Regular" w:hAnsi="ShangralaW90-Regular"/>
          <w:bCs/>
          <w:sz w:val="22"/>
          <w:szCs w:val="22"/>
        </w:rPr>
        <w:t xml:space="preserve">Source: </w:t>
      </w:r>
      <w:r w:rsidRPr="00163D24">
        <w:rPr>
          <w:rFonts w:ascii="ShangralaW90-Regular" w:hAnsi="ShangralaW90-Regular"/>
          <w:bCs/>
          <w:sz w:val="22"/>
          <w:szCs w:val="22"/>
        </w:rPr>
        <w:t xml:space="preserve">Author’s compilation based on data from </w:t>
      </w:r>
      <w:r w:rsidRPr="00163D24">
        <w:rPr>
          <w:rFonts w:ascii="ShangralaW90-Regular" w:hAnsi="ShangralaW90-Regular"/>
          <w:bCs/>
          <w:sz w:val="22"/>
          <w:szCs w:val="22"/>
        </w:rPr>
        <w:fldChar w:fldCharType="begin" w:fldLock="1"/>
      </w:r>
      <w:r w:rsidRPr="00163D24">
        <w:rPr>
          <w:rFonts w:ascii="ShangralaW90-Regular" w:hAnsi="ShangralaW90-Regular"/>
          <w:bCs/>
          <w:sz w:val="22"/>
          <w:szCs w:val="22"/>
        </w:rPr>
        <w:instrText>ADDIN CSL_CITATION {"citationItems":[{"id":"ITEM-1","itemData":{"URL":"https://nswi.bkpm.go.id/data_statistik","author":[{"dropping-particle":"","family":"NSWiMinistryofInvestment","given":"","non-dropping-particle":"","parse-names":false,"suffix":""}],"id":"ITEM-1","issued":{"date-parts":[["0"]]},"title":"Perkembangan Investasi 1990-2020","type":"webpage"},"uris":["http://www.mendeley.com/documents/?uuid=d4883eed-530c-4217-8fda-d3e334488561"]}],"mendeley":{"formattedCitation":"(NSWiMinistryofInvestment, n.d.)","manualFormatting":"NSWi Ministry of Investment (n.d.)","plainTextFormattedCitation":"(NSWiMinistryofInvestment, n.d.)","previouslyFormattedCitation":"(NSWiMinistryofInvestment, n.d.)"},"properties":{"noteIndex":0},"schema":"https://github.com/citation-style-language/schema/raw/master/csl-citation.json"}</w:instrText>
      </w:r>
      <w:r w:rsidRPr="00163D24">
        <w:rPr>
          <w:rFonts w:ascii="ShangralaW90-Regular" w:hAnsi="ShangralaW90-Regular"/>
          <w:bCs/>
          <w:sz w:val="22"/>
          <w:szCs w:val="22"/>
        </w:rPr>
        <w:fldChar w:fldCharType="separate"/>
      </w:r>
      <w:r w:rsidRPr="00163D24">
        <w:rPr>
          <w:rFonts w:ascii="ShangralaW90-Regular" w:hAnsi="ShangralaW90-Regular"/>
          <w:bCs/>
          <w:noProof/>
          <w:sz w:val="22"/>
          <w:szCs w:val="22"/>
        </w:rPr>
        <w:t>NSWi Ministry of Investment (n.d.)</w:t>
      </w:r>
      <w:r w:rsidRPr="00163D24">
        <w:rPr>
          <w:rFonts w:ascii="ShangralaW90-Regular" w:hAnsi="ShangralaW90-Regular"/>
          <w:bCs/>
          <w:sz w:val="22"/>
          <w:szCs w:val="22"/>
        </w:rPr>
        <w:fldChar w:fldCharType="end"/>
      </w:r>
      <w:r w:rsidRPr="00163D24">
        <w:rPr>
          <w:rFonts w:ascii="ShangralaW90-Regular" w:hAnsi="ShangralaW90-Regular"/>
          <w:bCs/>
          <w:sz w:val="22"/>
          <w:szCs w:val="22"/>
        </w:rPr>
        <w:t>)</w:t>
      </w:r>
    </w:p>
    <w:p w14:paraId="07EFAC15" w14:textId="77777777" w:rsidR="00A63FC9" w:rsidRPr="00163D24" w:rsidRDefault="00A63FC9" w:rsidP="00163D24">
      <w:pPr>
        <w:spacing w:line="276" w:lineRule="auto"/>
        <w:contextualSpacing/>
        <w:jc w:val="center"/>
        <w:rPr>
          <w:rFonts w:ascii="Palatino Linotype" w:hAnsi="Palatino Linotype"/>
          <w:b/>
        </w:rPr>
      </w:pPr>
    </w:p>
    <w:p w14:paraId="10A94F1D" w14:textId="77777777" w:rsidR="00163D24" w:rsidRDefault="003461B6" w:rsidP="003574B3">
      <w:pPr>
        <w:pStyle w:val="Body"/>
        <w:spacing w:after="240"/>
        <w:ind w:firstLine="540"/>
        <w:jc w:val="both"/>
        <w:rPr>
          <w:rFonts w:ascii="ShangralaW90-Regular" w:eastAsia="Cambria" w:hAnsi="ShangralaW90-Regular" w:cs="Cambria"/>
          <w:u w:color="FF0000"/>
        </w:rPr>
      </w:pPr>
      <w:r w:rsidRPr="00163D24">
        <w:rPr>
          <w:rFonts w:ascii="ShangralaW90-Regular" w:eastAsia="Cambria" w:hAnsi="ShangralaW90-Regular" w:cs="Cambria"/>
          <w:u w:color="FF0000"/>
        </w:rPr>
        <w:t xml:space="preserve">In 2006, Malaysia invested in the third manufacturing subsector, that is motor vehicles and other transport equipment industries. In this paper, </w:t>
      </w:r>
      <w:r w:rsidRPr="00C75939">
        <w:rPr>
          <w:rFonts w:ascii="ShangralaW90-Regular" w:eastAsia="Cambria" w:hAnsi="ShangralaW90-Regular" w:cs="Cambria"/>
          <w:highlight w:val="green"/>
          <w:u w:color="FF0000"/>
        </w:rPr>
        <w:t>author</w:t>
      </w:r>
      <w:r w:rsidR="00C75939" w:rsidRPr="00C75939">
        <w:rPr>
          <w:rFonts w:ascii="ShangralaW90-Regular" w:eastAsia="Cambria" w:hAnsi="ShangralaW90-Regular" w:cs="Cambria"/>
          <w:highlight w:val="green"/>
          <w:u w:color="FF0000"/>
        </w:rPr>
        <w:t>s</w:t>
      </w:r>
      <w:r w:rsidRPr="00163D24">
        <w:rPr>
          <w:rFonts w:ascii="ShangralaW90-Regular" w:eastAsia="Cambria" w:hAnsi="ShangralaW90-Regular" w:cs="Cambria"/>
          <w:u w:color="FF0000"/>
        </w:rPr>
        <w:t xml:space="preserve"> categorized the subsector into other manufacturing subsectors. Intensive investment in other manufacturing subsectors began in 2009. After that, Malaysia did not invest in this subsector only in 2014. In 2008, Malaysia invested USD 3 million in the metal industry in Riau Islands but the highest value of FDI in this subsector took place in 2014 (USD 4 million). In 2009, Malaysia invested USD 6 million in the food industry but the highest investment took place in 2012 (USD 25 million). After the year, FDI in the food industry decreased (Figure </w:t>
      </w:r>
      <w:r w:rsidR="00C75939">
        <w:rPr>
          <w:rFonts w:ascii="ShangralaW90-Regular" w:eastAsia="Cambria" w:hAnsi="ShangralaW90-Regular" w:cs="Cambria"/>
          <w:u w:color="FF0000"/>
        </w:rPr>
        <w:t>8</w:t>
      </w:r>
      <w:r w:rsidRPr="00163D24">
        <w:rPr>
          <w:rFonts w:ascii="ShangralaW90-Regular" w:eastAsia="Cambria" w:hAnsi="ShangralaW90-Regular" w:cs="Cambria"/>
          <w:u w:color="FF0000"/>
        </w:rPr>
        <w:t>).</w:t>
      </w:r>
    </w:p>
    <w:p w14:paraId="4A4CC8D4" w14:textId="77777777" w:rsidR="00412070" w:rsidRDefault="00412070" w:rsidP="00412070">
      <w:pPr>
        <w:spacing w:line="276" w:lineRule="auto"/>
        <w:ind w:firstLine="540"/>
        <w:jc w:val="both"/>
        <w:rPr>
          <w:rFonts w:ascii="ShangralaW90-Regular" w:hAnsi="ShangralaW90-Regular"/>
          <w:sz w:val="22"/>
          <w:szCs w:val="22"/>
        </w:rPr>
      </w:pPr>
      <w:r w:rsidRPr="00163D24">
        <w:rPr>
          <w:rFonts w:ascii="ShangralaW90-Regular" w:hAnsi="ShangralaW90-Regular"/>
          <w:sz w:val="22"/>
          <w:szCs w:val="22"/>
        </w:rPr>
        <w:t>A one-way ANOVA test (</w:t>
      </w:r>
      <w:proofErr w:type="spellStart"/>
      <w:r w:rsidRPr="00163D24">
        <w:rPr>
          <w:rFonts w:ascii="ShangralaW90-Regular" w:hAnsi="ShangralaW90-Regular"/>
          <w:sz w:val="22"/>
          <w:szCs w:val="22"/>
        </w:rPr>
        <w:t>posthoc</w:t>
      </w:r>
      <w:proofErr w:type="spellEnd"/>
      <w:r w:rsidRPr="00163D24">
        <w:rPr>
          <w:rFonts w:ascii="ShangralaW90-Regular" w:hAnsi="ShangralaW90-Regular"/>
          <w:sz w:val="22"/>
          <w:szCs w:val="22"/>
        </w:rPr>
        <w:t xml:space="preserve"> test) was conducted by comparing FDI among manufacturing subsectors. The output of the </w:t>
      </w:r>
      <w:proofErr w:type="spellStart"/>
      <w:r w:rsidRPr="00163D24">
        <w:rPr>
          <w:rFonts w:ascii="ShangralaW90-Regular" w:hAnsi="ShangralaW90-Regular"/>
          <w:sz w:val="22"/>
          <w:szCs w:val="22"/>
        </w:rPr>
        <w:t>posthoc</w:t>
      </w:r>
      <w:proofErr w:type="spellEnd"/>
      <w:r w:rsidRPr="00163D24">
        <w:rPr>
          <w:rFonts w:ascii="ShangralaW90-Regular" w:hAnsi="ShangralaW90-Regular"/>
          <w:sz w:val="22"/>
          <w:szCs w:val="22"/>
        </w:rPr>
        <w:t xml:space="preserve"> test (Tukey HSD) </w:t>
      </w:r>
      <w:r w:rsidRPr="002E1544">
        <w:rPr>
          <w:rFonts w:ascii="ShangralaW90-Regular" w:hAnsi="ShangralaW90-Regular"/>
          <w:sz w:val="22"/>
          <w:szCs w:val="22"/>
          <w:highlight w:val="green"/>
        </w:rPr>
        <w:t>demonstrates</w:t>
      </w:r>
      <w:r w:rsidRPr="00163D24">
        <w:rPr>
          <w:rFonts w:ascii="ShangralaW90-Regular" w:hAnsi="ShangralaW90-Regular"/>
          <w:sz w:val="22"/>
          <w:szCs w:val="22"/>
        </w:rPr>
        <w:t xml:space="preserve"> the computed Sig values of other manufacturing subsectors </w:t>
      </w:r>
      <w:r w:rsidRPr="002E1544">
        <w:rPr>
          <w:rFonts w:ascii="ShangralaW90-Regular" w:hAnsi="ShangralaW90-Regular"/>
          <w:sz w:val="22"/>
          <w:szCs w:val="22"/>
          <w:highlight w:val="green"/>
        </w:rPr>
        <w:t>are</w:t>
      </w:r>
      <w:r w:rsidRPr="00163D24">
        <w:rPr>
          <w:rFonts w:ascii="ShangralaW90-Regular" w:hAnsi="ShangralaW90-Regular"/>
          <w:sz w:val="22"/>
          <w:szCs w:val="22"/>
        </w:rPr>
        <w:t xml:space="preserve"> less than the 0.05 significance level (Table 7). Thus, </w:t>
      </w:r>
      <w:r w:rsidRPr="002E1544">
        <w:rPr>
          <w:rFonts w:ascii="ShangralaW90-Regular" w:hAnsi="ShangralaW90-Regular"/>
          <w:sz w:val="22"/>
          <w:szCs w:val="22"/>
          <w:highlight w:val="green"/>
        </w:rPr>
        <w:t>authors</w:t>
      </w:r>
      <w:r w:rsidRPr="00163D24">
        <w:rPr>
          <w:rFonts w:ascii="ShangralaW90-Regular" w:hAnsi="ShangralaW90-Regular"/>
          <w:sz w:val="22"/>
          <w:szCs w:val="22"/>
        </w:rPr>
        <w:t xml:space="preserve"> accepted </w:t>
      </w:r>
      <w:r w:rsidRPr="002E1544">
        <w:rPr>
          <w:rFonts w:ascii="ShangralaW90-Regular" w:hAnsi="ShangralaW90-Regular"/>
          <w:sz w:val="22"/>
          <w:szCs w:val="22"/>
          <w:highlight w:val="green"/>
        </w:rPr>
        <w:t>H</w:t>
      </w:r>
      <w:r w:rsidRPr="002E1544">
        <w:rPr>
          <w:rFonts w:ascii="ShangralaW90-Regular" w:hAnsi="ShangralaW90-Regular"/>
          <w:sz w:val="22"/>
          <w:szCs w:val="22"/>
          <w:highlight w:val="green"/>
          <w:vertAlign w:val="subscript"/>
        </w:rPr>
        <w:t>1</w:t>
      </w:r>
      <w:r w:rsidRPr="00163D24">
        <w:rPr>
          <w:rFonts w:ascii="ShangralaW90-Regular" w:hAnsi="ShangralaW90-Regular"/>
          <w:sz w:val="22"/>
          <w:szCs w:val="22"/>
        </w:rPr>
        <w:t xml:space="preserve">, that is Malaysia's FDI in the food industry in the Riau islands </w:t>
      </w:r>
      <w:r w:rsidRPr="002E1544">
        <w:rPr>
          <w:rFonts w:ascii="ShangralaW90-Regular" w:hAnsi="ShangralaW90-Regular"/>
          <w:sz w:val="22"/>
          <w:szCs w:val="22"/>
          <w:highlight w:val="green"/>
        </w:rPr>
        <w:t>is</w:t>
      </w:r>
      <w:r w:rsidRPr="00163D24">
        <w:rPr>
          <w:rFonts w:ascii="ShangralaW90-Regular" w:hAnsi="ShangralaW90-Regular"/>
          <w:sz w:val="22"/>
          <w:szCs w:val="22"/>
        </w:rPr>
        <w:t xml:space="preserve"> significantly different from Malaysia’s FDI in other manufacturing subsectors for at least one (Hypothesis 8). The positive mean difference</w:t>
      </w:r>
      <w:r>
        <w:rPr>
          <w:rFonts w:ascii="ShangralaW90-Regular" w:hAnsi="ShangralaW90-Regular"/>
          <w:sz w:val="22"/>
          <w:szCs w:val="22"/>
        </w:rPr>
        <w:t>s</w:t>
      </w:r>
      <w:r w:rsidRPr="00163D24">
        <w:rPr>
          <w:rFonts w:ascii="ShangralaW90-Regular" w:hAnsi="ShangralaW90-Regular"/>
          <w:sz w:val="22"/>
          <w:szCs w:val="22"/>
        </w:rPr>
        <w:t xml:space="preserve"> </w:t>
      </w:r>
      <w:r w:rsidRPr="002E1544">
        <w:rPr>
          <w:rFonts w:ascii="ShangralaW90-Regular" w:hAnsi="ShangralaW90-Regular"/>
          <w:sz w:val="22"/>
          <w:szCs w:val="22"/>
          <w:highlight w:val="green"/>
        </w:rPr>
        <w:t>show</w:t>
      </w:r>
      <w:r w:rsidRPr="00163D24">
        <w:rPr>
          <w:rFonts w:ascii="ShangralaW90-Regular" w:hAnsi="ShangralaW90-Regular"/>
          <w:sz w:val="22"/>
          <w:szCs w:val="22"/>
        </w:rPr>
        <w:t xml:space="preserve"> that Malaysia's investment in the food industry was greater than that in equipment, machinery, electronics, rubber and plastic, metal (not machinery and electronic), and other manufacturing subsectors.</w:t>
      </w:r>
    </w:p>
    <w:p w14:paraId="7EC136D1" w14:textId="77777777" w:rsidR="00412070" w:rsidRPr="00412070" w:rsidRDefault="00412070" w:rsidP="00412070">
      <w:pPr>
        <w:spacing w:after="240" w:line="276" w:lineRule="auto"/>
        <w:ind w:firstLine="540"/>
        <w:jc w:val="both"/>
        <w:rPr>
          <w:rFonts w:ascii="ShangralaW90-Regular" w:hAnsi="ShangralaW90-Regular"/>
          <w:sz w:val="22"/>
          <w:szCs w:val="22"/>
        </w:rPr>
      </w:pPr>
      <w:r w:rsidRPr="00163D24">
        <w:rPr>
          <w:rFonts w:ascii="ShangralaW90-Regular" w:hAnsi="ShangralaW90-Regular"/>
          <w:sz w:val="22"/>
          <w:szCs w:val="22"/>
        </w:rPr>
        <w:t xml:space="preserve">Malaysia invested in the food industry because it has comparative advantages </w:t>
      </w:r>
      <w:r w:rsidRPr="005470CB">
        <w:rPr>
          <w:rFonts w:ascii="ShangralaW90-Regular" w:hAnsi="ShangralaW90-Regular"/>
          <w:sz w:val="22"/>
          <w:szCs w:val="22"/>
          <w:highlight w:val="green"/>
        </w:rPr>
        <w:t>in the subsectors (UNCTAD, n.d.).  I</w:t>
      </w:r>
      <w:r w:rsidRPr="00163D24">
        <w:rPr>
          <w:rFonts w:ascii="ShangralaW90-Regular" w:hAnsi="ShangralaW90-Regular"/>
          <w:sz w:val="22"/>
          <w:szCs w:val="22"/>
        </w:rPr>
        <w:t xml:space="preserve">n addition, Malaysia invested more in the halal-related industry to take advantage of the huge halal market in Riau Islands, having a somewhat large population (Table 2), and in </w:t>
      </w:r>
      <w:r w:rsidRPr="00163D24">
        <w:rPr>
          <w:rFonts w:ascii="ShangralaW90-Regular" w:hAnsi="ShangralaW90-Regular"/>
          <w:sz w:val="22"/>
          <w:szCs w:val="22"/>
        </w:rPr>
        <w:lastRenderedPageBreak/>
        <w:t xml:space="preserve">Indonesia, having the large Muslim population in the world (Pew Research </w:t>
      </w:r>
      <w:proofErr w:type="spellStart"/>
      <w:r w:rsidRPr="00163D24">
        <w:rPr>
          <w:rFonts w:ascii="ShangralaW90-Regular" w:hAnsi="ShangralaW90-Regular"/>
          <w:sz w:val="22"/>
          <w:szCs w:val="22"/>
        </w:rPr>
        <w:t>Center</w:t>
      </w:r>
      <w:proofErr w:type="spellEnd"/>
      <w:r w:rsidRPr="00163D24">
        <w:rPr>
          <w:rFonts w:ascii="ShangralaW90-Regular" w:hAnsi="ShangralaW90-Regular"/>
          <w:sz w:val="22"/>
          <w:szCs w:val="22"/>
        </w:rPr>
        <w:t>, 2015) with higher demand for halal food (</w:t>
      </w:r>
      <w:proofErr w:type="spellStart"/>
      <w:r w:rsidRPr="00163D24">
        <w:rPr>
          <w:rFonts w:ascii="ShangralaW90-Regular" w:hAnsi="ShangralaW90-Regular"/>
          <w:sz w:val="22"/>
          <w:szCs w:val="22"/>
        </w:rPr>
        <w:t>SalaamGateway</w:t>
      </w:r>
      <w:proofErr w:type="spellEnd"/>
      <w:r w:rsidRPr="00163D24">
        <w:rPr>
          <w:rFonts w:ascii="ShangralaW90-Regular" w:hAnsi="ShangralaW90-Regular"/>
          <w:sz w:val="22"/>
          <w:szCs w:val="22"/>
        </w:rPr>
        <w:t xml:space="preserve">, 2020). </w:t>
      </w:r>
    </w:p>
    <w:p w14:paraId="5560ECE8" w14:textId="77777777" w:rsidR="00163D24" w:rsidRPr="00AF775F" w:rsidRDefault="003461B6" w:rsidP="00163D24">
      <w:pPr>
        <w:jc w:val="center"/>
        <w:rPr>
          <w:rFonts w:ascii="ShangralaW90-Regular" w:hAnsi="ShangralaW90-Regular"/>
          <w:i/>
          <w:sz w:val="22"/>
          <w:szCs w:val="22"/>
          <w:lang w:val="id-ID"/>
        </w:rPr>
      </w:pPr>
      <w:r w:rsidRPr="00AF775F">
        <w:rPr>
          <w:rFonts w:ascii="ShangralaW90-Regular" w:hAnsi="ShangralaW90-Regular"/>
          <w:sz w:val="22"/>
          <w:szCs w:val="22"/>
        </w:rPr>
        <w:t xml:space="preserve">Table 7. </w:t>
      </w:r>
      <w:r w:rsidRPr="00AF775F">
        <w:rPr>
          <w:rFonts w:ascii="ShangralaW90-Regular" w:hAnsi="ShangralaW90-Regular"/>
          <w:i/>
          <w:sz w:val="22"/>
          <w:szCs w:val="22"/>
          <w:lang w:val="id-ID"/>
        </w:rPr>
        <w:t>The output of the ANOVA Test (Post</w:t>
      </w:r>
      <w:r w:rsidRPr="00AF775F">
        <w:rPr>
          <w:rFonts w:ascii="ShangralaW90-Regular" w:hAnsi="ShangralaW90-Regular"/>
          <w:i/>
          <w:sz w:val="22"/>
          <w:szCs w:val="22"/>
        </w:rPr>
        <w:t>-</w:t>
      </w:r>
      <w:r w:rsidRPr="00AF775F">
        <w:rPr>
          <w:rFonts w:ascii="ShangralaW90-Regular" w:hAnsi="ShangralaW90-Regular"/>
          <w:i/>
          <w:sz w:val="22"/>
          <w:szCs w:val="22"/>
          <w:lang w:val="id-ID"/>
        </w:rPr>
        <w:t xml:space="preserve">Hoc Test: Tukey HSD) for Mean Comparison of Malaysia’s </w:t>
      </w:r>
      <w:r w:rsidRPr="00AF775F">
        <w:rPr>
          <w:rFonts w:ascii="ShangralaW90-Regular" w:hAnsi="ShangralaW90-Regular"/>
          <w:i/>
          <w:sz w:val="22"/>
          <w:szCs w:val="22"/>
        </w:rPr>
        <w:t xml:space="preserve">Sub-Sectoral </w:t>
      </w:r>
      <w:r w:rsidRPr="00AF775F">
        <w:rPr>
          <w:rFonts w:ascii="ShangralaW90-Regular" w:hAnsi="ShangralaW90-Regular"/>
          <w:i/>
          <w:sz w:val="22"/>
          <w:szCs w:val="22"/>
          <w:lang w:val="id-ID"/>
        </w:rPr>
        <w:t>FDI</w:t>
      </w:r>
      <w:r w:rsidRPr="00AF775F">
        <w:rPr>
          <w:rFonts w:ascii="ShangralaW90-Regular" w:hAnsi="ShangralaW90-Regular"/>
          <w:i/>
          <w:sz w:val="22"/>
          <w:szCs w:val="22"/>
        </w:rPr>
        <w:t>s</w:t>
      </w:r>
      <w:r w:rsidRPr="00AF775F">
        <w:rPr>
          <w:rFonts w:ascii="ShangralaW90-Regular" w:hAnsi="ShangralaW90-Regular"/>
          <w:i/>
          <w:sz w:val="22"/>
          <w:szCs w:val="22"/>
          <w:lang w:val="id-ID"/>
        </w:rPr>
        <w:t xml:space="preserve"> in </w:t>
      </w:r>
      <w:r w:rsidRPr="00AF775F">
        <w:rPr>
          <w:rFonts w:ascii="ShangralaW90-Regular" w:hAnsi="ShangralaW90-Regular"/>
          <w:i/>
          <w:sz w:val="22"/>
          <w:szCs w:val="22"/>
        </w:rPr>
        <w:t xml:space="preserve">the </w:t>
      </w:r>
      <w:r w:rsidRPr="00AF775F">
        <w:rPr>
          <w:rFonts w:ascii="ShangralaW90-Regular" w:hAnsi="ShangralaW90-Regular"/>
          <w:i/>
          <w:sz w:val="22"/>
          <w:szCs w:val="22"/>
          <w:lang w:val="id-ID"/>
        </w:rPr>
        <w:t>Riau Islands</w:t>
      </w:r>
    </w:p>
    <w:p w14:paraId="026D593A" w14:textId="77777777" w:rsidR="00163D24" w:rsidRPr="00163D24" w:rsidRDefault="00163D24" w:rsidP="00163D24">
      <w:pPr>
        <w:jc w:val="center"/>
        <w:rPr>
          <w:rFonts w:ascii="ShangralaW90-Regular" w:hAnsi="ShangralaW90-Regular"/>
          <w:b/>
          <w:sz w:val="22"/>
          <w:szCs w:val="22"/>
        </w:rPr>
      </w:pPr>
    </w:p>
    <w:tbl>
      <w:tblPr>
        <w:tblStyle w:val="TableGrid"/>
        <w:tblW w:w="4925" w:type="pct"/>
        <w:jc w:val="center"/>
        <w:tblLayout w:type="fixed"/>
        <w:tblLook w:val="04A0" w:firstRow="1" w:lastRow="0" w:firstColumn="1" w:lastColumn="0" w:noHBand="0" w:noVBand="1"/>
      </w:tblPr>
      <w:tblGrid>
        <w:gridCol w:w="1902"/>
        <w:gridCol w:w="2773"/>
        <w:gridCol w:w="1741"/>
        <w:gridCol w:w="1147"/>
        <w:gridCol w:w="1312"/>
      </w:tblGrid>
      <w:tr w:rsidR="00A34600" w14:paraId="405E4E27" w14:textId="77777777" w:rsidTr="00163D24">
        <w:trPr>
          <w:trHeight w:val="588"/>
          <w:jc w:val="center"/>
        </w:trPr>
        <w:tc>
          <w:tcPr>
            <w:tcW w:w="1072" w:type="pct"/>
          </w:tcPr>
          <w:p w14:paraId="3804AA7C" w14:textId="77777777" w:rsidR="00163D24" w:rsidRPr="00163D24" w:rsidRDefault="003461B6" w:rsidP="00412070">
            <w:pPr>
              <w:contextualSpacing/>
              <w:jc w:val="center"/>
              <w:rPr>
                <w:rFonts w:ascii="ShangralaW90-Regular" w:hAnsi="ShangralaW90-Regular"/>
                <w:b/>
                <w:bCs/>
                <w:sz w:val="20"/>
                <w:szCs w:val="20"/>
                <w:lang w:val="id-ID"/>
              </w:rPr>
            </w:pPr>
            <w:r w:rsidRPr="00163D24">
              <w:rPr>
                <w:rFonts w:ascii="ShangralaW90-Regular" w:hAnsi="ShangralaW90-Regular"/>
                <w:b/>
                <w:bCs/>
                <w:sz w:val="20"/>
                <w:szCs w:val="20"/>
                <w:lang w:val="id-ID"/>
              </w:rPr>
              <w:t>Treatment</w:t>
            </w:r>
          </w:p>
        </w:tc>
        <w:tc>
          <w:tcPr>
            <w:tcW w:w="1562" w:type="pct"/>
          </w:tcPr>
          <w:p w14:paraId="260D3B88" w14:textId="77777777" w:rsidR="00163D24" w:rsidRPr="00163D24" w:rsidRDefault="003461B6" w:rsidP="00412070">
            <w:pPr>
              <w:contextualSpacing/>
              <w:jc w:val="center"/>
              <w:rPr>
                <w:rFonts w:ascii="ShangralaW90-Regular" w:hAnsi="ShangralaW90-Regular"/>
                <w:b/>
                <w:bCs/>
                <w:sz w:val="20"/>
                <w:szCs w:val="20"/>
                <w:lang w:val="id-ID"/>
              </w:rPr>
            </w:pPr>
            <w:r w:rsidRPr="00163D24">
              <w:rPr>
                <w:rFonts w:ascii="ShangralaW90-Regular" w:hAnsi="ShangralaW90-Regular"/>
                <w:b/>
                <w:bCs/>
                <w:sz w:val="20"/>
                <w:szCs w:val="20"/>
                <w:lang w:val="id-ID"/>
              </w:rPr>
              <w:t>Control Group</w:t>
            </w:r>
          </w:p>
        </w:tc>
        <w:tc>
          <w:tcPr>
            <w:tcW w:w="981" w:type="pct"/>
          </w:tcPr>
          <w:p w14:paraId="64B18AC6" w14:textId="77777777" w:rsidR="00163D24" w:rsidRPr="00163D24" w:rsidRDefault="003461B6" w:rsidP="00412070">
            <w:pPr>
              <w:contextualSpacing/>
              <w:jc w:val="center"/>
              <w:rPr>
                <w:rFonts w:ascii="ShangralaW90-Regular" w:hAnsi="ShangralaW90-Regular"/>
                <w:b/>
                <w:bCs/>
                <w:sz w:val="20"/>
                <w:szCs w:val="20"/>
                <w:lang w:val="id-ID"/>
              </w:rPr>
            </w:pPr>
            <w:r w:rsidRPr="00163D24">
              <w:rPr>
                <w:rFonts w:ascii="ShangralaW90-Regular" w:hAnsi="ShangralaW90-Regular"/>
                <w:b/>
                <w:bCs/>
                <w:sz w:val="20"/>
                <w:szCs w:val="20"/>
                <w:lang w:val="id-ID"/>
              </w:rPr>
              <w:t xml:space="preserve">Mean Difference </w:t>
            </w:r>
          </w:p>
          <w:p w14:paraId="0A25BAE1" w14:textId="77777777" w:rsidR="00163D24" w:rsidRPr="00163D24" w:rsidRDefault="003461B6" w:rsidP="00412070">
            <w:pPr>
              <w:contextualSpacing/>
              <w:jc w:val="center"/>
              <w:rPr>
                <w:rFonts w:ascii="ShangralaW90-Regular" w:hAnsi="ShangralaW90-Regular"/>
                <w:b/>
                <w:bCs/>
                <w:sz w:val="20"/>
                <w:szCs w:val="20"/>
                <w:lang w:val="id-ID"/>
              </w:rPr>
            </w:pPr>
            <w:r w:rsidRPr="00163D24">
              <w:rPr>
                <w:rFonts w:ascii="ShangralaW90-Regular" w:hAnsi="ShangralaW90-Regular"/>
                <w:b/>
                <w:bCs/>
                <w:sz w:val="20"/>
                <w:szCs w:val="20"/>
                <w:lang w:val="id-ID"/>
              </w:rPr>
              <w:t>(Thousand USD)</w:t>
            </w:r>
          </w:p>
        </w:tc>
        <w:tc>
          <w:tcPr>
            <w:tcW w:w="646" w:type="pct"/>
          </w:tcPr>
          <w:p w14:paraId="647F0142" w14:textId="77777777" w:rsidR="00163D24" w:rsidRPr="00163D24" w:rsidRDefault="003461B6" w:rsidP="00412070">
            <w:pPr>
              <w:contextualSpacing/>
              <w:jc w:val="center"/>
              <w:rPr>
                <w:rFonts w:ascii="ShangralaW90-Regular" w:hAnsi="ShangralaW90-Regular"/>
                <w:b/>
                <w:bCs/>
                <w:sz w:val="20"/>
                <w:szCs w:val="20"/>
                <w:lang w:val="id-ID"/>
              </w:rPr>
            </w:pPr>
            <w:r w:rsidRPr="00163D24">
              <w:rPr>
                <w:rFonts w:ascii="ShangralaW90-Regular" w:hAnsi="ShangralaW90-Regular"/>
                <w:b/>
                <w:bCs/>
                <w:sz w:val="20"/>
                <w:szCs w:val="20"/>
                <w:lang w:val="id-ID"/>
              </w:rPr>
              <w:t>Std Error</w:t>
            </w:r>
          </w:p>
        </w:tc>
        <w:tc>
          <w:tcPr>
            <w:tcW w:w="739" w:type="pct"/>
          </w:tcPr>
          <w:p w14:paraId="776031AA" w14:textId="77777777" w:rsidR="00163D24" w:rsidRPr="00163D24" w:rsidRDefault="003461B6" w:rsidP="00412070">
            <w:pPr>
              <w:contextualSpacing/>
              <w:jc w:val="center"/>
              <w:rPr>
                <w:rFonts w:ascii="ShangralaW90-Regular" w:hAnsi="ShangralaW90-Regular"/>
                <w:b/>
                <w:bCs/>
                <w:sz w:val="20"/>
                <w:szCs w:val="20"/>
                <w:lang w:val="id-ID"/>
              </w:rPr>
            </w:pPr>
            <w:r w:rsidRPr="00163D24">
              <w:rPr>
                <w:rFonts w:ascii="ShangralaW90-Regular" w:hAnsi="ShangralaW90-Regular"/>
                <w:b/>
                <w:bCs/>
                <w:sz w:val="20"/>
                <w:szCs w:val="20"/>
                <w:lang w:val="id-ID"/>
              </w:rPr>
              <w:t>Sig</w:t>
            </w:r>
          </w:p>
        </w:tc>
      </w:tr>
      <w:tr w:rsidR="00A34600" w14:paraId="14327766" w14:textId="77777777" w:rsidTr="00163D24">
        <w:trPr>
          <w:trHeight w:val="382"/>
          <w:jc w:val="center"/>
        </w:trPr>
        <w:tc>
          <w:tcPr>
            <w:tcW w:w="5000" w:type="pct"/>
            <w:gridSpan w:val="5"/>
            <w:tcBorders>
              <w:bottom w:val="single" w:sz="4" w:space="0" w:color="auto"/>
            </w:tcBorders>
          </w:tcPr>
          <w:p w14:paraId="7CE910B2" w14:textId="77777777" w:rsidR="00163D24" w:rsidRPr="00163D24" w:rsidRDefault="003461B6" w:rsidP="00412070">
            <w:pPr>
              <w:contextualSpacing/>
              <w:rPr>
                <w:rFonts w:ascii="ShangralaW90-Regular" w:hAnsi="ShangralaW90-Regular"/>
                <w:b/>
                <w:bCs/>
                <w:sz w:val="20"/>
                <w:szCs w:val="20"/>
                <w:lang w:val="id-ID"/>
              </w:rPr>
            </w:pPr>
            <w:r w:rsidRPr="00163D24">
              <w:rPr>
                <w:rFonts w:ascii="ShangralaW90-Regular" w:hAnsi="ShangralaW90-Regular"/>
                <w:sz w:val="20"/>
                <w:szCs w:val="20"/>
                <w:lang w:val="id-ID"/>
              </w:rPr>
              <w:t>Malaysia’s FDI in Riau Islands by Manufacturing Sub-Sector</w:t>
            </w:r>
          </w:p>
        </w:tc>
      </w:tr>
      <w:tr w:rsidR="00A34600" w14:paraId="2FA1FEE8" w14:textId="77777777" w:rsidTr="00CD41C0">
        <w:trPr>
          <w:trHeight w:val="1133"/>
          <w:jc w:val="center"/>
        </w:trPr>
        <w:tc>
          <w:tcPr>
            <w:tcW w:w="1072" w:type="pct"/>
            <w:vMerge w:val="restart"/>
            <w:tcBorders>
              <w:bottom w:val="nil"/>
            </w:tcBorders>
          </w:tcPr>
          <w:p w14:paraId="6F1B4BE9" w14:textId="77777777" w:rsidR="00163D24" w:rsidRPr="00163D24" w:rsidRDefault="003461B6" w:rsidP="00412070">
            <w:pPr>
              <w:contextualSpacing/>
              <w:rPr>
                <w:rFonts w:ascii="ShangralaW90-Regular" w:hAnsi="ShangralaW90-Regular"/>
                <w:sz w:val="20"/>
                <w:szCs w:val="20"/>
              </w:rPr>
            </w:pPr>
            <w:bookmarkStart w:id="3" w:name="_Hlk91715734"/>
            <w:r w:rsidRPr="00163D24">
              <w:rPr>
                <w:rFonts w:ascii="ShangralaW90-Regular" w:hAnsi="ShangralaW90-Regular"/>
                <w:sz w:val="20"/>
                <w:szCs w:val="20"/>
                <w:lang w:val="id-ID"/>
              </w:rPr>
              <w:t xml:space="preserve">Food Industry </w:t>
            </w:r>
            <w:r w:rsidRPr="00163D24">
              <w:rPr>
                <w:rFonts w:ascii="ShangralaW90-Regular" w:hAnsi="ShangralaW90-Regular"/>
                <w:sz w:val="20"/>
                <w:szCs w:val="20"/>
              </w:rPr>
              <w:t>(n: 9)</w:t>
            </w:r>
          </w:p>
        </w:tc>
        <w:tc>
          <w:tcPr>
            <w:tcW w:w="1562" w:type="pct"/>
            <w:tcBorders>
              <w:bottom w:val="nil"/>
            </w:tcBorders>
          </w:tcPr>
          <w:p w14:paraId="053C0AE8"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lang w:val="id-ID"/>
              </w:rPr>
              <w:t>Medical Precision. &amp; Optical Instruments, Watches &amp; Clock, Machinery, and Electronics Industry</w:t>
            </w:r>
            <w:r w:rsidRPr="00163D24">
              <w:rPr>
                <w:rFonts w:ascii="ShangralaW90-Regular" w:hAnsi="ShangralaW90-Regular"/>
                <w:sz w:val="20"/>
                <w:szCs w:val="20"/>
              </w:rPr>
              <w:t xml:space="preserve"> (n: 9)</w:t>
            </w:r>
          </w:p>
        </w:tc>
        <w:tc>
          <w:tcPr>
            <w:tcW w:w="981" w:type="pct"/>
            <w:tcBorders>
              <w:bottom w:val="nil"/>
            </w:tcBorders>
          </w:tcPr>
          <w:p w14:paraId="6B7B1110"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1772.01</w:t>
            </w:r>
          </w:p>
          <w:p w14:paraId="6B4A8826" w14:textId="77777777" w:rsidR="00163D24" w:rsidRPr="00163D24" w:rsidRDefault="00163D24" w:rsidP="00412070">
            <w:pPr>
              <w:contextualSpacing/>
              <w:rPr>
                <w:rFonts w:ascii="ShangralaW90-Regular" w:hAnsi="ShangralaW90-Regular"/>
                <w:sz w:val="20"/>
                <w:szCs w:val="20"/>
              </w:rPr>
            </w:pPr>
          </w:p>
          <w:p w14:paraId="25560507" w14:textId="77777777" w:rsidR="00163D24" w:rsidRPr="00163D24" w:rsidRDefault="00163D24" w:rsidP="00412070">
            <w:pPr>
              <w:contextualSpacing/>
              <w:rPr>
                <w:rFonts w:ascii="ShangralaW90-Regular" w:hAnsi="ShangralaW90-Regular"/>
                <w:sz w:val="20"/>
                <w:szCs w:val="20"/>
              </w:rPr>
            </w:pPr>
          </w:p>
        </w:tc>
        <w:tc>
          <w:tcPr>
            <w:tcW w:w="646" w:type="pct"/>
            <w:tcBorders>
              <w:bottom w:val="nil"/>
            </w:tcBorders>
          </w:tcPr>
          <w:p w14:paraId="700BB4AF"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1579.22</w:t>
            </w:r>
          </w:p>
        </w:tc>
        <w:tc>
          <w:tcPr>
            <w:tcW w:w="739" w:type="pct"/>
            <w:tcBorders>
              <w:bottom w:val="nil"/>
            </w:tcBorders>
          </w:tcPr>
          <w:p w14:paraId="0C1F80EF"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.794</w:t>
            </w:r>
          </w:p>
        </w:tc>
      </w:tr>
      <w:tr w:rsidR="00A34600" w14:paraId="739B48D8" w14:textId="77777777" w:rsidTr="00163D24">
        <w:trPr>
          <w:trHeight w:val="559"/>
          <w:jc w:val="center"/>
        </w:trPr>
        <w:tc>
          <w:tcPr>
            <w:tcW w:w="1072" w:type="pct"/>
            <w:vMerge/>
            <w:tcBorders>
              <w:top w:val="nil"/>
              <w:bottom w:val="nil"/>
            </w:tcBorders>
          </w:tcPr>
          <w:p w14:paraId="74BCD8F4" w14:textId="77777777" w:rsidR="00163D24" w:rsidRPr="00163D24" w:rsidRDefault="00163D24" w:rsidP="00412070">
            <w:pPr>
              <w:contextualSpacing/>
              <w:rPr>
                <w:rFonts w:ascii="ShangralaW90-Regular" w:hAnsi="ShangralaW90-Regular"/>
                <w:sz w:val="20"/>
                <w:szCs w:val="20"/>
              </w:rPr>
            </w:pPr>
          </w:p>
        </w:tc>
        <w:tc>
          <w:tcPr>
            <w:tcW w:w="1562" w:type="pct"/>
            <w:tcBorders>
              <w:top w:val="nil"/>
              <w:bottom w:val="nil"/>
            </w:tcBorders>
          </w:tcPr>
          <w:p w14:paraId="0BDBFE35"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lang w:val="id-ID"/>
              </w:rPr>
              <w:t>Rubber and Plastics Industry</w:t>
            </w:r>
            <w:r w:rsidRPr="00163D24">
              <w:rPr>
                <w:rFonts w:ascii="ShangralaW90-Regular" w:hAnsi="ShangralaW90-Regular"/>
                <w:sz w:val="20"/>
                <w:szCs w:val="20"/>
              </w:rPr>
              <w:t xml:space="preserve"> (n: 11)</w:t>
            </w:r>
          </w:p>
        </w:tc>
        <w:tc>
          <w:tcPr>
            <w:tcW w:w="981" w:type="pct"/>
            <w:tcBorders>
              <w:top w:val="nil"/>
              <w:bottom w:val="nil"/>
            </w:tcBorders>
          </w:tcPr>
          <w:p w14:paraId="11B3EA95"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3680.73</w:t>
            </w:r>
          </w:p>
        </w:tc>
        <w:tc>
          <w:tcPr>
            <w:tcW w:w="646" w:type="pct"/>
            <w:tcBorders>
              <w:top w:val="nil"/>
              <w:bottom w:val="nil"/>
            </w:tcBorders>
          </w:tcPr>
          <w:p w14:paraId="3E3B19DD"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1505.73</w:t>
            </w:r>
          </w:p>
        </w:tc>
        <w:tc>
          <w:tcPr>
            <w:tcW w:w="739" w:type="pct"/>
            <w:tcBorders>
              <w:top w:val="nil"/>
              <w:bottom w:val="nil"/>
            </w:tcBorders>
          </w:tcPr>
          <w:p w14:paraId="7C5C14EA"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.116</w:t>
            </w:r>
          </w:p>
        </w:tc>
      </w:tr>
      <w:tr w:rsidR="00A34600" w14:paraId="3B589E17" w14:textId="77777777" w:rsidTr="00CD41C0">
        <w:trPr>
          <w:trHeight w:val="612"/>
          <w:jc w:val="center"/>
        </w:trPr>
        <w:tc>
          <w:tcPr>
            <w:tcW w:w="1072" w:type="pct"/>
            <w:vMerge/>
            <w:tcBorders>
              <w:top w:val="nil"/>
              <w:bottom w:val="nil"/>
            </w:tcBorders>
          </w:tcPr>
          <w:p w14:paraId="27467FC8" w14:textId="77777777" w:rsidR="00163D24" w:rsidRPr="00163D24" w:rsidRDefault="00163D24" w:rsidP="00412070">
            <w:pPr>
              <w:contextualSpacing/>
              <w:rPr>
                <w:rFonts w:ascii="ShangralaW90-Regular" w:hAnsi="ShangralaW90-Regular"/>
                <w:sz w:val="20"/>
                <w:szCs w:val="20"/>
              </w:rPr>
            </w:pPr>
          </w:p>
        </w:tc>
        <w:tc>
          <w:tcPr>
            <w:tcW w:w="1562" w:type="pct"/>
            <w:tcBorders>
              <w:top w:val="nil"/>
              <w:bottom w:val="nil"/>
            </w:tcBorders>
          </w:tcPr>
          <w:p w14:paraId="56A0D221"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rPr>
              <w:t>Metal Industry (not machinery and electronic industry) (n: 12)</w:t>
            </w:r>
          </w:p>
        </w:tc>
        <w:tc>
          <w:tcPr>
            <w:tcW w:w="981" w:type="pct"/>
            <w:tcBorders>
              <w:top w:val="nil"/>
              <w:bottom w:val="nil"/>
            </w:tcBorders>
          </w:tcPr>
          <w:p w14:paraId="72AA17D9"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3566.51</w:t>
            </w:r>
          </w:p>
        </w:tc>
        <w:tc>
          <w:tcPr>
            <w:tcW w:w="646" w:type="pct"/>
            <w:tcBorders>
              <w:top w:val="nil"/>
              <w:bottom w:val="nil"/>
            </w:tcBorders>
          </w:tcPr>
          <w:p w14:paraId="0261D433"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1477.23</w:t>
            </w:r>
          </w:p>
        </w:tc>
        <w:tc>
          <w:tcPr>
            <w:tcW w:w="739" w:type="pct"/>
            <w:tcBorders>
              <w:top w:val="nil"/>
              <w:bottom w:val="nil"/>
            </w:tcBorders>
          </w:tcPr>
          <w:p w14:paraId="7E165F72"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.124</w:t>
            </w:r>
          </w:p>
        </w:tc>
      </w:tr>
      <w:bookmarkEnd w:id="3"/>
      <w:tr w:rsidR="00A34600" w14:paraId="59839A22" w14:textId="77777777" w:rsidTr="00163D24">
        <w:trPr>
          <w:trHeight w:val="279"/>
          <w:jc w:val="center"/>
        </w:trPr>
        <w:tc>
          <w:tcPr>
            <w:tcW w:w="1072" w:type="pct"/>
            <w:vMerge/>
            <w:tcBorders>
              <w:top w:val="nil"/>
            </w:tcBorders>
          </w:tcPr>
          <w:p w14:paraId="51B5A4B5" w14:textId="77777777" w:rsidR="00163D24" w:rsidRPr="00163D24" w:rsidRDefault="00163D24" w:rsidP="00412070">
            <w:pPr>
              <w:contextualSpacing/>
              <w:rPr>
                <w:rFonts w:ascii="ShangralaW90-Regular" w:hAnsi="ShangralaW90-Regular"/>
                <w:sz w:val="20"/>
                <w:szCs w:val="20"/>
              </w:rPr>
            </w:pPr>
          </w:p>
        </w:tc>
        <w:tc>
          <w:tcPr>
            <w:tcW w:w="1562" w:type="pct"/>
            <w:tcBorders>
              <w:top w:val="nil"/>
            </w:tcBorders>
          </w:tcPr>
          <w:p w14:paraId="407C911D"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rPr>
              <w:t>Others (n: 31)</w:t>
            </w:r>
          </w:p>
        </w:tc>
        <w:tc>
          <w:tcPr>
            <w:tcW w:w="981" w:type="pct"/>
            <w:tcBorders>
              <w:top w:val="nil"/>
            </w:tcBorders>
          </w:tcPr>
          <w:p w14:paraId="05D7EBD1"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4180.90*</w:t>
            </w:r>
          </w:p>
        </w:tc>
        <w:tc>
          <w:tcPr>
            <w:tcW w:w="646" w:type="pct"/>
            <w:tcBorders>
              <w:top w:val="nil"/>
            </w:tcBorders>
          </w:tcPr>
          <w:p w14:paraId="477E6214"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1268.46</w:t>
            </w:r>
          </w:p>
        </w:tc>
        <w:tc>
          <w:tcPr>
            <w:tcW w:w="739" w:type="pct"/>
            <w:tcBorders>
              <w:top w:val="nil"/>
            </w:tcBorders>
          </w:tcPr>
          <w:p w14:paraId="56857919"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.013</w:t>
            </w:r>
          </w:p>
        </w:tc>
      </w:tr>
      <w:tr w:rsidR="00A34600" w14:paraId="73CFA359" w14:textId="77777777" w:rsidTr="00163D24">
        <w:trPr>
          <w:trHeight w:val="397"/>
          <w:jc w:val="center"/>
        </w:trPr>
        <w:tc>
          <w:tcPr>
            <w:tcW w:w="5000" w:type="pct"/>
            <w:gridSpan w:val="5"/>
            <w:tcBorders>
              <w:bottom w:val="single" w:sz="4" w:space="0" w:color="auto"/>
            </w:tcBorders>
          </w:tcPr>
          <w:p w14:paraId="28BCF354" w14:textId="77777777" w:rsidR="00163D24" w:rsidRPr="00163D24" w:rsidRDefault="003461B6" w:rsidP="00412070">
            <w:pPr>
              <w:contextualSpacing/>
              <w:rPr>
                <w:rFonts w:ascii="ShangralaW90-Regular" w:hAnsi="ShangralaW90-Regular"/>
                <w:b/>
                <w:bCs/>
                <w:sz w:val="20"/>
                <w:szCs w:val="20"/>
                <w:lang w:val="id-ID"/>
              </w:rPr>
            </w:pPr>
            <w:r w:rsidRPr="00163D24">
              <w:rPr>
                <w:rFonts w:ascii="ShangralaW90-Regular" w:hAnsi="ShangralaW90-Regular"/>
                <w:sz w:val="20"/>
                <w:szCs w:val="20"/>
                <w:lang w:val="id-ID"/>
              </w:rPr>
              <w:t>Malaysia’s FDI in Riau Islands by Tertiary Sub-Sector</w:t>
            </w:r>
          </w:p>
        </w:tc>
      </w:tr>
      <w:tr w:rsidR="00A34600" w14:paraId="249C33B3" w14:textId="77777777" w:rsidTr="00CD41C0">
        <w:trPr>
          <w:trHeight w:val="386"/>
          <w:jc w:val="center"/>
        </w:trPr>
        <w:tc>
          <w:tcPr>
            <w:tcW w:w="1072" w:type="pct"/>
            <w:vMerge w:val="restart"/>
          </w:tcPr>
          <w:p w14:paraId="7FBA7242"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rPr>
              <w:t>Logistics</w:t>
            </w:r>
            <w:r w:rsidRPr="00163D24">
              <w:rPr>
                <w:rFonts w:ascii="ShangralaW90-Regular" w:hAnsi="ShangralaW90-Regular"/>
                <w:sz w:val="20"/>
                <w:szCs w:val="20"/>
                <w:lang w:val="id-ID"/>
              </w:rPr>
              <w:t xml:space="preserve"> &amp; Communication</w:t>
            </w:r>
            <w:r w:rsidRPr="00163D24">
              <w:rPr>
                <w:rFonts w:ascii="ShangralaW90-Regular" w:hAnsi="ShangralaW90-Regular"/>
                <w:sz w:val="20"/>
                <w:szCs w:val="20"/>
              </w:rPr>
              <w:t xml:space="preserve"> </w:t>
            </w:r>
          </w:p>
          <w:p w14:paraId="2EBE4198"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rPr>
              <w:t>(n: 6)</w:t>
            </w:r>
          </w:p>
          <w:p w14:paraId="53E7222F" w14:textId="77777777" w:rsidR="00163D24" w:rsidRPr="00163D24" w:rsidRDefault="00163D24" w:rsidP="00412070">
            <w:pPr>
              <w:contextualSpacing/>
              <w:jc w:val="right"/>
              <w:rPr>
                <w:rFonts w:ascii="ShangralaW90-Regular" w:hAnsi="ShangralaW90-Regular"/>
                <w:sz w:val="20"/>
                <w:szCs w:val="20"/>
              </w:rPr>
            </w:pPr>
          </w:p>
        </w:tc>
        <w:tc>
          <w:tcPr>
            <w:tcW w:w="1562" w:type="pct"/>
            <w:tcBorders>
              <w:bottom w:val="nil"/>
            </w:tcBorders>
          </w:tcPr>
          <w:p w14:paraId="6517473A"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lang w:val="id-ID"/>
              </w:rPr>
              <w:t>Trade and Reparation</w:t>
            </w:r>
            <w:r w:rsidRPr="00163D24">
              <w:rPr>
                <w:rFonts w:ascii="ShangralaW90-Regular" w:hAnsi="ShangralaW90-Regular"/>
                <w:sz w:val="20"/>
                <w:szCs w:val="20"/>
              </w:rPr>
              <w:t xml:space="preserve"> (n: 12)</w:t>
            </w:r>
          </w:p>
        </w:tc>
        <w:tc>
          <w:tcPr>
            <w:tcW w:w="981" w:type="pct"/>
            <w:tcBorders>
              <w:bottom w:val="nil"/>
            </w:tcBorders>
          </w:tcPr>
          <w:p w14:paraId="49147A53" w14:textId="77777777" w:rsidR="00163D24" w:rsidRPr="00163D24" w:rsidRDefault="003461B6" w:rsidP="00412070">
            <w:pPr>
              <w:contextualSpacing/>
              <w:jc w:val="right"/>
              <w:rPr>
                <w:rFonts w:ascii="ShangralaW90-Regular" w:hAnsi="ShangralaW90-Regular"/>
                <w:sz w:val="20"/>
                <w:szCs w:val="20"/>
                <w:lang w:val="id-ID"/>
              </w:rPr>
            </w:pPr>
            <w:r w:rsidRPr="00163D24">
              <w:rPr>
                <w:rFonts w:ascii="ShangralaW90-Regular" w:hAnsi="ShangralaW90-Regular"/>
                <w:sz w:val="20"/>
                <w:szCs w:val="20"/>
                <w:lang w:val="id-ID"/>
              </w:rPr>
              <w:t>22030.12</w:t>
            </w:r>
          </w:p>
        </w:tc>
        <w:tc>
          <w:tcPr>
            <w:tcW w:w="646" w:type="pct"/>
            <w:tcBorders>
              <w:bottom w:val="nil"/>
            </w:tcBorders>
          </w:tcPr>
          <w:p w14:paraId="31A59E77"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10138.23</w:t>
            </w:r>
          </w:p>
        </w:tc>
        <w:tc>
          <w:tcPr>
            <w:tcW w:w="739" w:type="pct"/>
            <w:tcBorders>
              <w:bottom w:val="nil"/>
            </w:tcBorders>
          </w:tcPr>
          <w:p w14:paraId="39BD0CAE"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.144</w:t>
            </w:r>
          </w:p>
        </w:tc>
      </w:tr>
      <w:tr w:rsidR="00A34600" w14:paraId="725E3862" w14:textId="77777777" w:rsidTr="00CD41C0">
        <w:trPr>
          <w:trHeight w:val="620"/>
          <w:jc w:val="center"/>
        </w:trPr>
        <w:tc>
          <w:tcPr>
            <w:tcW w:w="1072" w:type="pct"/>
            <w:vMerge/>
          </w:tcPr>
          <w:p w14:paraId="17780E41" w14:textId="77777777" w:rsidR="00163D24" w:rsidRPr="00163D24" w:rsidRDefault="00163D24" w:rsidP="00412070">
            <w:pPr>
              <w:contextualSpacing/>
              <w:rPr>
                <w:rFonts w:ascii="ShangralaW90-Regular" w:hAnsi="ShangralaW90-Regular"/>
                <w:sz w:val="20"/>
                <w:szCs w:val="20"/>
              </w:rPr>
            </w:pPr>
          </w:p>
        </w:tc>
        <w:tc>
          <w:tcPr>
            <w:tcW w:w="1562" w:type="pct"/>
            <w:tcBorders>
              <w:top w:val="nil"/>
              <w:bottom w:val="nil"/>
            </w:tcBorders>
          </w:tcPr>
          <w:p w14:paraId="73C79E3D"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lang w:val="id-ID"/>
              </w:rPr>
              <w:t>Real Estate, Ind</w:t>
            </w:r>
            <w:r w:rsidRPr="00163D24">
              <w:rPr>
                <w:rFonts w:ascii="ShangralaW90-Regular" w:hAnsi="ShangralaW90-Regular"/>
                <w:sz w:val="20"/>
                <w:szCs w:val="20"/>
              </w:rPr>
              <w:t xml:space="preserve">ustrial </w:t>
            </w:r>
            <w:r w:rsidRPr="00163D24">
              <w:rPr>
                <w:rFonts w:ascii="ShangralaW90-Regular" w:hAnsi="ShangralaW90-Regular"/>
                <w:sz w:val="20"/>
                <w:szCs w:val="20"/>
                <w:lang w:val="id-ID"/>
              </w:rPr>
              <w:t>Estate &amp; Business Activities</w:t>
            </w:r>
            <w:r w:rsidRPr="00163D24">
              <w:rPr>
                <w:rFonts w:ascii="ShangralaW90-Regular" w:hAnsi="ShangralaW90-Regular"/>
                <w:sz w:val="20"/>
                <w:szCs w:val="20"/>
              </w:rPr>
              <w:t xml:space="preserve"> (n: 7)</w:t>
            </w:r>
          </w:p>
        </w:tc>
        <w:tc>
          <w:tcPr>
            <w:tcW w:w="981" w:type="pct"/>
            <w:tcBorders>
              <w:top w:val="nil"/>
              <w:bottom w:val="nil"/>
            </w:tcBorders>
          </w:tcPr>
          <w:p w14:paraId="4C0E8711" w14:textId="77777777" w:rsidR="00163D24" w:rsidRPr="00163D24" w:rsidRDefault="003461B6" w:rsidP="00412070">
            <w:pPr>
              <w:contextualSpacing/>
              <w:jc w:val="right"/>
              <w:rPr>
                <w:rFonts w:ascii="ShangralaW90-Regular" w:hAnsi="ShangralaW90-Regular"/>
                <w:sz w:val="20"/>
                <w:szCs w:val="20"/>
                <w:lang w:val="id-ID"/>
              </w:rPr>
            </w:pPr>
            <w:r w:rsidRPr="00163D24">
              <w:rPr>
                <w:rFonts w:ascii="ShangralaW90-Regular" w:hAnsi="ShangralaW90-Regular"/>
                <w:sz w:val="20"/>
                <w:szCs w:val="20"/>
                <w:lang w:val="id-ID"/>
              </w:rPr>
              <w:t>23149.28</w:t>
            </w:r>
          </w:p>
        </w:tc>
        <w:tc>
          <w:tcPr>
            <w:tcW w:w="646" w:type="pct"/>
            <w:tcBorders>
              <w:top w:val="nil"/>
              <w:bottom w:val="nil"/>
            </w:tcBorders>
          </w:tcPr>
          <w:p w14:paraId="64606938"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11280.78</w:t>
            </w:r>
          </w:p>
        </w:tc>
        <w:tc>
          <w:tcPr>
            <w:tcW w:w="739" w:type="pct"/>
            <w:tcBorders>
              <w:top w:val="nil"/>
              <w:bottom w:val="nil"/>
            </w:tcBorders>
          </w:tcPr>
          <w:p w14:paraId="61B18593"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.183</w:t>
            </w:r>
          </w:p>
        </w:tc>
      </w:tr>
      <w:tr w:rsidR="00A34600" w14:paraId="4EB3DCF7" w14:textId="77777777" w:rsidTr="00163D24">
        <w:trPr>
          <w:trHeight w:val="279"/>
          <w:jc w:val="center"/>
        </w:trPr>
        <w:tc>
          <w:tcPr>
            <w:tcW w:w="1072" w:type="pct"/>
            <w:vMerge/>
          </w:tcPr>
          <w:p w14:paraId="23A5FB98" w14:textId="77777777" w:rsidR="00163D24" w:rsidRPr="00163D24" w:rsidRDefault="00163D24" w:rsidP="00412070">
            <w:pPr>
              <w:contextualSpacing/>
              <w:rPr>
                <w:rFonts w:ascii="ShangralaW90-Regular" w:hAnsi="ShangralaW90-Regular"/>
                <w:sz w:val="20"/>
                <w:szCs w:val="20"/>
              </w:rPr>
            </w:pPr>
          </w:p>
        </w:tc>
        <w:tc>
          <w:tcPr>
            <w:tcW w:w="1562" w:type="pct"/>
            <w:tcBorders>
              <w:top w:val="nil"/>
            </w:tcBorders>
          </w:tcPr>
          <w:p w14:paraId="31B1B097" w14:textId="77777777" w:rsidR="00163D24" w:rsidRPr="00163D24" w:rsidRDefault="003461B6" w:rsidP="00412070">
            <w:pPr>
              <w:contextualSpacing/>
              <w:rPr>
                <w:rFonts w:ascii="ShangralaW90-Regular" w:hAnsi="ShangralaW90-Regular"/>
                <w:sz w:val="20"/>
                <w:szCs w:val="20"/>
              </w:rPr>
            </w:pPr>
            <w:r w:rsidRPr="00163D24">
              <w:rPr>
                <w:rFonts w:ascii="ShangralaW90-Regular" w:hAnsi="ShangralaW90-Regular"/>
                <w:sz w:val="20"/>
                <w:szCs w:val="20"/>
              </w:rPr>
              <w:t>Others (n: 31)</w:t>
            </w:r>
          </w:p>
        </w:tc>
        <w:tc>
          <w:tcPr>
            <w:tcW w:w="981" w:type="pct"/>
            <w:tcBorders>
              <w:top w:val="nil"/>
            </w:tcBorders>
          </w:tcPr>
          <w:p w14:paraId="08D05771"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28953.72*</w:t>
            </w:r>
          </w:p>
        </w:tc>
        <w:tc>
          <w:tcPr>
            <w:tcW w:w="646" w:type="pct"/>
            <w:tcBorders>
              <w:top w:val="nil"/>
            </w:tcBorders>
          </w:tcPr>
          <w:p w14:paraId="3BB74193"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9043.50</w:t>
            </w:r>
          </w:p>
        </w:tc>
        <w:tc>
          <w:tcPr>
            <w:tcW w:w="739" w:type="pct"/>
            <w:tcBorders>
              <w:top w:val="nil"/>
            </w:tcBorders>
          </w:tcPr>
          <w:p w14:paraId="005B6EBC" w14:textId="77777777" w:rsidR="00163D24" w:rsidRPr="00163D24" w:rsidRDefault="003461B6" w:rsidP="00412070">
            <w:pPr>
              <w:contextualSpacing/>
              <w:jc w:val="right"/>
              <w:rPr>
                <w:rFonts w:ascii="ShangralaW90-Regular" w:hAnsi="ShangralaW90-Regular"/>
                <w:sz w:val="20"/>
                <w:szCs w:val="20"/>
              </w:rPr>
            </w:pPr>
            <w:r w:rsidRPr="00163D24">
              <w:rPr>
                <w:rFonts w:ascii="ShangralaW90-Regular" w:hAnsi="ShangralaW90-Regular"/>
                <w:sz w:val="20"/>
                <w:szCs w:val="20"/>
              </w:rPr>
              <w:t>.012</w:t>
            </w:r>
          </w:p>
        </w:tc>
      </w:tr>
    </w:tbl>
    <w:p w14:paraId="6530D230" w14:textId="77777777" w:rsidR="00163D24" w:rsidRDefault="003461B6" w:rsidP="00163D24">
      <w:pPr>
        <w:spacing w:line="276" w:lineRule="auto"/>
        <w:rPr>
          <w:rFonts w:ascii="ShangralaW90-Regular" w:hAnsi="ShangralaW90-Regular"/>
          <w:sz w:val="22"/>
          <w:szCs w:val="22"/>
          <w:lang w:val="id-ID"/>
        </w:rPr>
      </w:pPr>
      <w:r w:rsidRPr="00163D24">
        <w:rPr>
          <w:rFonts w:ascii="ShangralaW90-Regular" w:hAnsi="ShangralaW90-Regular"/>
          <w:sz w:val="22"/>
          <w:szCs w:val="22"/>
          <w:lang w:val="id-ID"/>
        </w:rPr>
        <w:t>*The mean difference is significant at the 0.05 level</w:t>
      </w:r>
    </w:p>
    <w:p w14:paraId="1CFC573A" w14:textId="77777777" w:rsidR="00163D24" w:rsidRDefault="00163D24" w:rsidP="00163D24">
      <w:pPr>
        <w:spacing w:line="276" w:lineRule="auto"/>
        <w:rPr>
          <w:rFonts w:ascii="ShangralaW90-Regular" w:hAnsi="ShangralaW90-Regular"/>
          <w:sz w:val="22"/>
          <w:szCs w:val="22"/>
        </w:rPr>
      </w:pPr>
    </w:p>
    <w:p w14:paraId="17AB131B" w14:textId="77777777" w:rsidR="00163D24" w:rsidRPr="00163D24" w:rsidRDefault="003461B6" w:rsidP="00163D24">
      <w:pPr>
        <w:spacing w:line="276" w:lineRule="auto"/>
        <w:ind w:firstLine="540"/>
        <w:jc w:val="both"/>
        <w:rPr>
          <w:rFonts w:ascii="ShangralaW90-Regular" w:hAnsi="ShangralaW90-Regular"/>
          <w:sz w:val="22"/>
          <w:szCs w:val="22"/>
        </w:rPr>
      </w:pPr>
      <w:r w:rsidRPr="00163D24">
        <w:rPr>
          <w:rFonts w:ascii="ShangralaW90-Regular" w:hAnsi="ShangralaW90-Regular"/>
          <w:sz w:val="22"/>
          <w:szCs w:val="22"/>
        </w:rPr>
        <w:t>The large investment of Malaysia in the food sector offers three opportunities for Indonesia. Firstly, Malaysian food manufacturing companies in Riau Islands must be well informed about the halal standard implemented by the Malaysian Halal Authority and thus will contribute to the export expansion of halal products in ASEAN countries. That is because the Malaysian Halal Standard (MS 1500:2009) and certification are recognized not only in Malaysia but also in some other ASEAN countries (Lin, 2017). The reputation of Malaysian halal standards is even recognized as better standards, proven by Malaysia's position in the global Islamic economy indicator as to the top 3 halal food industries in the world for at least 2018, 2019, 2020 while Indonesia's rank was below Malaysia in same years (DinarStandard, 2019, 2020; ThomsonReuters, 2018). Secondly, Malaysian companies will participate in and shape the domestic halal supply chain, as pointed</w:t>
      </w:r>
      <w:r w:rsidR="00EF7E66">
        <w:rPr>
          <w:rFonts w:ascii="ShangralaW90-Regular" w:hAnsi="ShangralaW90-Regular"/>
          <w:sz w:val="22"/>
          <w:szCs w:val="22"/>
        </w:rPr>
        <w:t xml:space="preserve"> out</w:t>
      </w:r>
      <w:r w:rsidRPr="00163D24">
        <w:rPr>
          <w:rFonts w:ascii="ShangralaW90-Regular" w:hAnsi="ShangralaW90-Regular"/>
          <w:sz w:val="22"/>
          <w:szCs w:val="22"/>
        </w:rPr>
        <w:t xml:space="preserve"> by Tieman </w:t>
      </w:r>
      <w:r w:rsidR="00EF7E66">
        <w:rPr>
          <w:rFonts w:ascii="ShangralaW90-Regular" w:hAnsi="ShangralaW90-Regular"/>
          <w:sz w:val="22"/>
          <w:szCs w:val="22"/>
        </w:rPr>
        <w:t>(</w:t>
      </w:r>
      <w:r w:rsidRPr="00163D24">
        <w:rPr>
          <w:rFonts w:ascii="ShangralaW90-Regular" w:hAnsi="ShangralaW90-Regular"/>
          <w:sz w:val="22"/>
          <w:szCs w:val="22"/>
        </w:rPr>
        <w:t xml:space="preserve">2011). Thirdly, some Malaysian companies in Riau Islands are certainly subsidiaries of large companies based in Malaysia and thus will shape the global halal value chain, as pointed </w:t>
      </w:r>
      <w:r w:rsidR="00FD5D22">
        <w:rPr>
          <w:rFonts w:ascii="ShangralaW90-Regular" w:hAnsi="ShangralaW90-Regular"/>
          <w:sz w:val="22"/>
          <w:szCs w:val="22"/>
        </w:rPr>
        <w:t xml:space="preserve">out </w:t>
      </w:r>
      <w:r w:rsidRPr="00163D24">
        <w:rPr>
          <w:rFonts w:ascii="ShangralaW90-Regular" w:hAnsi="ShangralaW90-Regular"/>
          <w:sz w:val="22"/>
          <w:szCs w:val="22"/>
        </w:rPr>
        <w:t xml:space="preserve">by Tieman </w:t>
      </w:r>
      <w:r w:rsidR="00FD5D22">
        <w:rPr>
          <w:rFonts w:ascii="ShangralaW90-Regular" w:hAnsi="ShangralaW90-Regular"/>
          <w:sz w:val="22"/>
          <w:szCs w:val="22"/>
        </w:rPr>
        <w:t>(</w:t>
      </w:r>
      <w:r w:rsidRPr="00163D24">
        <w:rPr>
          <w:rFonts w:ascii="ShangralaW90-Regular" w:hAnsi="ShangralaW90-Regular"/>
          <w:sz w:val="22"/>
          <w:szCs w:val="22"/>
        </w:rPr>
        <w:t>2011).</w:t>
      </w:r>
    </w:p>
    <w:p w14:paraId="1908ADC8" w14:textId="491CD995" w:rsidR="00163D24" w:rsidRDefault="003461B6" w:rsidP="00163D24">
      <w:pPr>
        <w:spacing w:line="276" w:lineRule="auto"/>
        <w:ind w:firstLine="540"/>
        <w:jc w:val="both"/>
        <w:rPr>
          <w:rFonts w:ascii="ShangralaW90-Regular" w:hAnsi="ShangralaW90-Regular"/>
          <w:sz w:val="22"/>
          <w:szCs w:val="22"/>
        </w:rPr>
      </w:pPr>
      <w:r w:rsidRPr="00163D24">
        <w:rPr>
          <w:rFonts w:ascii="ShangralaW90-Regular" w:hAnsi="ShangralaW90-Regular"/>
          <w:sz w:val="22"/>
          <w:szCs w:val="22"/>
        </w:rPr>
        <w:t xml:space="preserve">In tertiary subsectors, Malaysia initially invested in the hotel and restaurant subsector (USD 4.8 million) in Riau Islands in 1999. In this paper, </w:t>
      </w:r>
      <w:r w:rsidRPr="00FD5D22">
        <w:rPr>
          <w:rFonts w:ascii="ShangralaW90-Regular" w:hAnsi="ShangralaW90-Regular"/>
          <w:sz w:val="22"/>
          <w:szCs w:val="22"/>
          <w:highlight w:val="green"/>
        </w:rPr>
        <w:t>author</w:t>
      </w:r>
      <w:r w:rsidR="00FD5D22" w:rsidRPr="00FD5D22">
        <w:rPr>
          <w:rFonts w:ascii="ShangralaW90-Regular" w:hAnsi="ShangralaW90-Regular"/>
          <w:sz w:val="22"/>
          <w:szCs w:val="22"/>
          <w:highlight w:val="green"/>
        </w:rPr>
        <w:t>s</w:t>
      </w:r>
      <w:r w:rsidRPr="00163D24">
        <w:rPr>
          <w:rFonts w:ascii="ShangralaW90-Regular" w:hAnsi="ShangralaW90-Regular"/>
          <w:sz w:val="22"/>
          <w:szCs w:val="22"/>
        </w:rPr>
        <w:t xml:space="preserve"> categorized the subsector into </w:t>
      </w:r>
      <w:proofErr w:type="gramStart"/>
      <w:r w:rsidRPr="00163D24">
        <w:rPr>
          <w:rFonts w:ascii="ShangralaW90-Regular" w:hAnsi="ShangralaW90-Regular"/>
          <w:sz w:val="22"/>
          <w:szCs w:val="22"/>
        </w:rPr>
        <w:t>other</w:t>
      </w:r>
      <w:proofErr w:type="gramEnd"/>
      <w:r w:rsidRPr="00163D24">
        <w:rPr>
          <w:rFonts w:ascii="ShangralaW90-Regular" w:hAnsi="ShangralaW90-Regular"/>
          <w:sz w:val="22"/>
          <w:szCs w:val="22"/>
        </w:rPr>
        <w:t xml:space="preserve"> tertiary subsector. Then the country invested in trade and reparation (USD 99 thousand) in 2008. Malaysia next invested in other subsectors (USD 111 thousand) in 2011. In 2015, Malaysia invested in logistics (transport and storage) and communication (USD 4 million) and property (real and industrial estate), and business activities (USD 3.9), as presented in Figure </w:t>
      </w:r>
      <w:r w:rsidR="00C529C0">
        <w:rPr>
          <w:rFonts w:ascii="ShangralaW90-Regular" w:hAnsi="ShangralaW90-Regular"/>
          <w:sz w:val="22"/>
          <w:szCs w:val="22"/>
        </w:rPr>
        <w:t>9</w:t>
      </w:r>
      <w:r w:rsidRPr="00163D24">
        <w:rPr>
          <w:rFonts w:ascii="ShangralaW90-Regular" w:hAnsi="ShangralaW90-Regular"/>
          <w:sz w:val="22"/>
          <w:szCs w:val="22"/>
        </w:rPr>
        <w:t>.</w:t>
      </w:r>
    </w:p>
    <w:p w14:paraId="7CFF8341" w14:textId="77777777" w:rsidR="004E3A22" w:rsidRPr="00163D24" w:rsidRDefault="004E3A22" w:rsidP="00163D24">
      <w:pPr>
        <w:spacing w:line="276" w:lineRule="auto"/>
        <w:ind w:firstLine="540"/>
        <w:jc w:val="both"/>
        <w:rPr>
          <w:rFonts w:ascii="ShangralaW90-Regular" w:hAnsi="ShangralaW90-Regular"/>
          <w:sz w:val="22"/>
          <w:szCs w:val="22"/>
        </w:rPr>
      </w:pPr>
    </w:p>
    <w:p w14:paraId="715B5E41" w14:textId="77777777" w:rsidR="00163D24" w:rsidRPr="004E3A22" w:rsidRDefault="003461B6" w:rsidP="004E3A22">
      <w:pPr>
        <w:pStyle w:val="Body"/>
        <w:spacing w:line="240" w:lineRule="auto"/>
        <w:contextualSpacing/>
        <w:jc w:val="both"/>
        <w:rPr>
          <w:rFonts w:ascii="ShangralaW90-Regular" w:eastAsia="Cambria" w:hAnsi="ShangralaW90-Regular" w:cs="Cambria"/>
          <w:sz w:val="20"/>
          <w:szCs w:val="20"/>
          <w:u w:color="FF0000"/>
        </w:rPr>
      </w:pPr>
      <w:r>
        <w:rPr>
          <w:noProof/>
        </w:rPr>
        <w:lastRenderedPageBreak/>
        <w:drawing>
          <wp:inline distT="0" distB="0" distL="0" distR="0" wp14:anchorId="237A4C20" wp14:editId="25C7363A">
            <wp:extent cx="5727700" cy="3007360"/>
            <wp:effectExtent l="0" t="0" r="635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727700" cy="3007360"/>
                    </a:xfrm>
                    <a:prstGeom prst="rect">
                      <a:avLst/>
                    </a:prstGeom>
                    <a:noFill/>
                    <a:ln>
                      <a:noFill/>
                    </a:ln>
                  </pic:spPr>
                </pic:pic>
              </a:graphicData>
            </a:graphic>
          </wp:inline>
        </w:drawing>
      </w:r>
    </w:p>
    <w:p w14:paraId="593BD760" w14:textId="77777777" w:rsidR="00163D24" w:rsidRPr="00163D24" w:rsidRDefault="003461B6" w:rsidP="00163D24">
      <w:pPr>
        <w:tabs>
          <w:tab w:val="left" w:pos="4260"/>
          <w:tab w:val="center" w:pos="4860"/>
        </w:tabs>
        <w:contextualSpacing/>
        <w:jc w:val="center"/>
        <w:rPr>
          <w:rFonts w:ascii="ShangralaW90-Regular" w:hAnsi="ShangralaW90-Regular"/>
          <w:sz w:val="22"/>
          <w:szCs w:val="22"/>
        </w:rPr>
      </w:pPr>
      <w:r w:rsidRPr="00AF775F">
        <w:rPr>
          <w:rFonts w:ascii="ShangralaW90-Regular" w:hAnsi="ShangralaW90-Regular"/>
          <w:i/>
          <w:sz w:val="22"/>
          <w:szCs w:val="22"/>
        </w:rPr>
        <w:t xml:space="preserve">Figure </w:t>
      </w:r>
      <w:r w:rsidR="00C529C0">
        <w:rPr>
          <w:rFonts w:ascii="ShangralaW90-Regular" w:hAnsi="ShangralaW90-Regular"/>
          <w:i/>
          <w:sz w:val="22"/>
          <w:szCs w:val="22"/>
        </w:rPr>
        <w:t>9</w:t>
      </w:r>
      <w:r w:rsidRPr="00AF775F">
        <w:rPr>
          <w:rFonts w:ascii="ShangralaW90-Regular" w:hAnsi="ShangralaW90-Regular"/>
          <w:i/>
          <w:sz w:val="22"/>
          <w:szCs w:val="22"/>
        </w:rPr>
        <w:t>.</w:t>
      </w:r>
      <w:r w:rsidRPr="00163D24">
        <w:rPr>
          <w:rFonts w:ascii="ShangralaW90-Regular" w:hAnsi="ShangralaW90-Regular"/>
          <w:b/>
          <w:sz w:val="22"/>
          <w:szCs w:val="22"/>
        </w:rPr>
        <w:t xml:space="preserve"> </w:t>
      </w:r>
      <w:r w:rsidRPr="00163D24">
        <w:rPr>
          <w:rFonts w:ascii="ShangralaW90-Regular" w:hAnsi="ShangralaW90-Regular"/>
          <w:sz w:val="22"/>
          <w:szCs w:val="22"/>
        </w:rPr>
        <w:t>Malaysia's FDI in Non-Manufacturing Subsectors in Riau Islands</w:t>
      </w:r>
    </w:p>
    <w:p w14:paraId="67C27023" w14:textId="77777777" w:rsidR="00163D24" w:rsidRPr="00163D24" w:rsidRDefault="003461B6" w:rsidP="00163D24">
      <w:pPr>
        <w:contextualSpacing/>
        <w:jc w:val="center"/>
        <w:rPr>
          <w:rFonts w:ascii="ShangralaW90-Regular" w:hAnsi="ShangralaW90-Regular"/>
          <w:bCs/>
          <w:noProof/>
          <w:sz w:val="22"/>
          <w:szCs w:val="22"/>
        </w:rPr>
      </w:pPr>
      <w:r w:rsidRPr="00163D24">
        <w:rPr>
          <w:rFonts w:ascii="ShangralaW90-Regular" w:hAnsi="ShangralaW90-Regular"/>
          <w:bCs/>
          <w:noProof/>
          <w:sz w:val="22"/>
          <w:szCs w:val="22"/>
        </w:rPr>
        <w:t>(</w:t>
      </w:r>
      <w:r w:rsidR="00260BA0" w:rsidRPr="00260BA0">
        <w:rPr>
          <w:rFonts w:ascii="ShangralaW90-Regular" w:hAnsi="ShangralaW90-Regular"/>
          <w:bCs/>
          <w:noProof/>
          <w:sz w:val="22"/>
          <w:szCs w:val="22"/>
          <w:highlight w:val="green"/>
        </w:rPr>
        <w:t>Source:</w:t>
      </w:r>
      <w:r w:rsidR="00260BA0">
        <w:rPr>
          <w:rFonts w:ascii="ShangralaW90-Regular" w:hAnsi="ShangralaW90-Regular"/>
          <w:bCs/>
          <w:noProof/>
          <w:sz w:val="22"/>
          <w:szCs w:val="22"/>
        </w:rPr>
        <w:t xml:space="preserve"> </w:t>
      </w:r>
      <w:r w:rsidRPr="00260BA0">
        <w:rPr>
          <w:rFonts w:ascii="ShangralaW90-Regular" w:hAnsi="ShangralaW90-Regular"/>
          <w:bCs/>
          <w:noProof/>
          <w:sz w:val="22"/>
          <w:szCs w:val="22"/>
          <w:highlight w:val="green"/>
        </w:rPr>
        <w:t>Authors</w:t>
      </w:r>
      <w:r w:rsidR="00260BA0" w:rsidRPr="00260BA0">
        <w:rPr>
          <w:rFonts w:ascii="ShangralaW90-Regular" w:hAnsi="ShangralaW90-Regular"/>
          <w:bCs/>
          <w:noProof/>
          <w:sz w:val="22"/>
          <w:szCs w:val="22"/>
          <w:highlight w:val="green"/>
        </w:rPr>
        <w:t>’</w:t>
      </w:r>
      <w:r w:rsidRPr="00163D24">
        <w:rPr>
          <w:rFonts w:ascii="ShangralaW90-Regular" w:hAnsi="ShangralaW90-Regular"/>
          <w:bCs/>
          <w:noProof/>
          <w:sz w:val="22"/>
          <w:szCs w:val="22"/>
        </w:rPr>
        <w:t xml:space="preserve"> compilation based on data from </w:t>
      </w:r>
      <w:r w:rsidRPr="00163D24">
        <w:rPr>
          <w:rFonts w:ascii="ShangralaW90-Regular" w:hAnsi="ShangralaW90-Regular"/>
          <w:bCs/>
          <w:noProof/>
          <w:sz w:val="22"/>
          <w:szCs w:val="22"/>
        </w:rPr>
        <w:fldChar w:fldCharType="begin" w:fldLock="1"/>
      </w:r>
      <w:r w:rsidRPr="00163D24">
        <w:rPr>
          <w:rFonts w:ascii="ShangralaW90-Regular" w:hAnsi="ShangralaW90-Regular"/>
          <w:bCs/>
          <w:noProof/>
          <w:sz w:val="22"/>
          <w:szCs w:val="22"/>
        </w:rPr>
        <w:instrText>ADDIN CSL_CITATION {"citationItems":[{"id":"ITEM-1","itemData":{"URL":"https://nswi.bkpm.go.id/data_statistik","author":[{"dropping-particle":"","family":"NSWiMinistryofInvestment","given":"","non-dropping-particle":"","parse-names":false,"suffix":""}],"id":"ITEM-1","issued":{"date-parts":[["0"]]},"title":"Perkembangan Investasi 1990-2020","type":"webpage"},"uris":["http://www.mendeley.com/documents/?uuid=d4883eed-530c-4217-8fda-d3e334488561"]}],"mendeley":{"formattedCitation":"(NSWiMinistryofInvestment, n.d.)","manualFormatting":"NSWi Ministry of Investment (n.d.)","plainTextFormattedCitation":"(NSWiMinistryofInvestment, n.d.)","previouslyFormattedCitation":"(NSWiMinistryofInvestment, n.d.)"},"properties":{"noteIndex":0},"schema":"https://github.com/citation-style-language/schema/raw/master/csl-citation.json"}</w:instrText>
      </w:r>
      <w:r w:rsidRPr="00163D24">
        <w:rPr>
          <w:rFonts w:ascii="ShangralaW90-Regular" w:hAnsi="ShangralaW90-Regular"/>
          <w:bCs/>
          <w:noProof/>
          <w:sz w:val="22"/>
          <w:szCs w:val="22"/>
        </w:rPr>
        <w:fldChar w:fldCharType="separate"/>
      </w:r>
      <w:r w:rsidRPr="00163D24">
        <w:rPr>
          <w:rFonts w:ascii="ShangralaW90-Regular" w:hAnsi="ShangralaW90-Regular"/>
          <w:bCs/>
          <w:noProof/>
          <w:sz w:val="22"/>
          <w:szCs w:val="22"/>
        </w:rPr>
        <w:t>NSWi Ministry of Investment (n.d.)</w:t>
      </w:r>
      <w:r w:rsidRPr="00163D24">
        <w:rPr>
          <w:rFonts w:ascii="ShangralaW90-Regular" w:hAnsi="ShangralaW90-Regular"/>
          <w:bCs/>
          <w:noProof/>
          <w:sz w:val="22"/>
          <w:szCs w:val="22"/>
        </w:rPr>
        <w:fldChar w:fldCharType="end"/>
      </w:r>
      <w:r w:rsidRPr="00163D24">
        <w:rPr>
          <w:rFonts w:ascii="ShangralaW90-Regular" w:hAnsi="ShangralaW90-Regular"/>
          <w:bCs/>
          <w:noProof/>
          <w:sz w:val="22"/>
          <w:szCs w:val="22"/>
        </w:rPr>
        <w:t>)</w:t>
      </w:r>
    </w:p>
    <w:p w14:paraId="2954EEFE" w14:textId="77777777" w:rsidR="00163D24" w:rsidRPr="00127148" w:rsidRDefault="00163D24" w:rsidP="00163D24">
      <w:pPr>
        <w:tabs>
          <w:tab w:val="left" w:pos="4260"/>
          <w:tab w:val="center" w:pos="4860"/>
        </w:tabs>
        <w:spacing w:line="360" w:lineRule="auto"/>
        <w:rPr>
          <w:rFonts w:ascii="Palatino Linotype" w:hAnsi="Palatino Linotype"/>
          <w:b/>
        </w:rPr>
      </w:pPr>
    </w:p>
    <w:p w14:paraId="3A615EEA" w14:textId="77777777" w:rsidR="00163D24" w:rsidRDefault="003461B6" w:rsidP="00163D24">
      <w:pPr>
        <w:pStyle w:val="Body"/>
        <w:ind w:firstLine="539"/>
        <w:jc w:val="both"/>
        <w:rPr>
          <w:rFonts w:ascii="ShangralaW90-Regular" w:eastAsia="Cambria" w:hAnsi="ShangralaW90-Regular" w:cs="Cambria"/>
          <w:u w:color="FF0000"/>
        </w:rPr>
      </w:pPr>
      <w:r w:rsidRPr="00163D24">
        <w:rPr>
          <w:rFonts w:ascii="ShangralaW90-Regular" w:eastAsia="Cambria" w:hAnsi="ShangralaW90-Regular" w:cs="Cambria"/>
          <w:u w:color="FF0000"/>
        </w:rPr>
        <w:t xml:space="preserve">One-way ANOVA test (posthoc test) was conducted by comparing FDI among tertiary subsectors. The output of the posthoc test (Tukey HSD) </w:t>
      </w:r>
      <w:r w:rsidRPr="00210705">
        <w:rPr>
          <w:rFonts w:ascii="ShangralaW90-Regular" w:eastAsia="Cambria" w:hAnsi="ShangralaW90-Regular" w:cs="Cambria"/>
          <w:highlight w:val="green"/>
          <w:u w:color="FF0000"/>
        </w:rPr>
        <w:t>demonstrate</w:t>
      </w:r>
      <w:r w:rsidR="00210705" w:rsidRPr="00210705">
        <w:rPr>
          <w:rFonts w:ascii="ShangralaW90-Regular" w:eastAsia="Cambria" w:hAnsi="ShangralaW90-Regular" w:cs="Cambria"/>
          <w:highlight w:val="green"/>
          <w:u w:color="FF0000"/>
        </w:rPr>
        <w:t>s</w:t>
      </w:r>
      <w:r w:rsidRPr="00163D24">
        <w:rPr>
          <w:rFonts w:ascii="ShangralaW90-Regular" w:eastAsia="Cambria" w:hAnsi="ShangralaW90-Regular" w:cs="Cambria"/>
          <w:u w:color="FF0000"/>
        </w:rPr>
        <w:t xml:space="preserve"> that the computed Sig values of other tertiary subsectors (0.012) </w:t>
      </w:r>
      <w:r w:rsidR="00210705" w:rsidRPr="00210705">
        <w:rPr>
          <w:rFonts w:ascii="ShangralaW90-Regular" w:eastAsia="Cambria" w:hAnsi="ShangralaW90-Regular" w:cs="Cambria"/>
          <w:highlight w:val="green"/>
          <w:u w:color="FF0000"/>
        </w:rPr>
        <w:t>are</w:t>
      </w:r>
      <w:r w:rsidRPr="00163D24">
        <w:rPr>
          <w:rFonts w:ascii="ShangralaW90-Regular" w:eastAsia="Cambria" w:hAnsi="ShangralaW90-Regular" w:cs="Cambria"/>
          <w:u w:color="FF0000"/>
        </w:rPr>
        <w:t xml:space="preserve"> less than the 0.05 significance level (Table 7). Thus, </w:t>
      </w:r>
      <w:r w:rsidRPr="00210705">
        <w:rPr>
          <w:rFonts w:ascii="ShangralaW90-Regular" w:eastAsia="Cambria" w:hAnsi="ShangralaW90-Regular" w:cs="Cambria"/>
          <w:highlight w:val="green"/>
          <w:u w:color="FF0000"/>
        </w:rPr>
        <w:t>author</w:t>
      </w:r>
      <w:r w:rsidR="00210705" w:rsidRPr="00210705">
        <w:rPr>
          <w:rFonts w:ascii="ShangralaW90-Regular" w:eastAsia="Cambria" w:hAnsi="ShangralaW90-Regular" w:cs="Cambria"/>
          <w:highlight w:val="green"/>
          <w:u w:color="FF0000"/>
        </w:rPr>
        <w:t>s</w:t>
      </w:r>
      <w:r w:rsidRPr="00163D24">
        <w:rPr>
          <w:rFonts w:ascii="ShangralaW90-Regular" w:eastAsia="Cambria" w:hAnsi="ShangralaW90-Regular" w:cs="Cambria"/>
          <w:u w:color="FF0000"/>
        </w:rPr>
        <w:t xml:space="preserve"> accepted </w:t>
      </w:r>
      <w:r w:rsidRPr="00210705">
        <w:rPr>
          <w:rFonts w:ascii="ShangralaW90-Regular" w:eastAsia="Cambria" w:hAnsi="ShangralaW90-Regular" w:cs="Cambria"/>
          <w:highlight w:val="green"/>
          <w:u w:color="FF0000"/>
        </w:rPr>
        <w:t>H</w:t>
      </w:r>
      <w:r w:rsidRPr="00210705">
        <w:rPr>
          <w:rFonts w:ascii="ShangralaW90-Regular" w:eastAsia="Cambria" w:hAnsi="ShangralaW90-Regular" w:cs="Cambria"/>
          <w:highlight w:val="green"/>
          <w:u w:color="FF0000"/>
          <w:vertAlign w:val="subscript"/>
        </w:rPr>
        <w:t>1</w:t>
      </w:r>
      <w:r w:rsidRPr="00163D24">
        <w:rPr>
          <w:rFonts w:ascii="ShangralaW90-Regular" w:eastAsia="Cambria" w:hAnsi="ShangralaW90-Regular" w:cs="Cambria"/>
          <w:u w:color="FF0000"/>
        </w:rPr>
        <w:t xml:space="preserve">, that is Malaysia's FDI in logistics and communication in Riau Islands </w:t>
      </w:r>
      <w:r w:rsidR="00210705" w:rsidRPr="00210705">
        <w:rPr>
          <w:rFonts w:ascii="ShangralaW90-Regular" w:eastAsia="Cambria" w:hAnsi="ShangralaW90-Regular" w:cs="Cambria"/>
          <w:highlight w:val="green"/>
          <w:u w:color="FF0000"/>
        </w:rPr>
        <w:t>is</w:t>
      </w:r>
      <w:r w:rsidRPr="00163D24">
        <w:rPr>
          <w:rFonts w:ascii="ShangralaW90-Regular" w:eastAsia="Cambria" w:hAnsi="ShangralaW90-Regular" w:cs="Cambria"/>
          <w:u w:color="FF0000"/>
        </w:rPr>
        <w:t xml:space="preserve"> significantly different from Malaysia’s FDI in other tertiary subsectors for at least one subsector (Hypothesis 9). The positive mean </w:t>
      </w:r>
      <w:r w:rsidRPr="00210705">
        <w:rPr>
          <w:rFonts w:ascii="ShangralaW90-Regular" w:eastAsia="Cambria" w:hAnsi="ShangralaW90-Regular" w:cs="Cambria"/>
          <w:highlight w:val="green"/>
          <w:u w:color="FF0000"/>
        </w:rPr>
        <w:t>difference</w:t>
      </w:r>
      <w:r w:rsidR="00210705" w:rsidRPr="00210705">
        <w:rPr>
          <w:rFonts w:ascii="ShangralaW90-Regular" w:eastAsia="Cambria" w:hAnsi="ShangralaW90-Regular" w:cs="Cambria"/>
          <w:highlight w:val="green"/>
          <w:u w:color="FF0000"/>
        </w:rPr>
        <w:t>s</w:t>
      </w:r>
      <w:r w:rsidRPr="00210705">
        <w:rPr>
          <w:rFonts w:ascii="ShangralaW90-Regular" w:eastAsia="Cambria" w:hAnsi="ShangralaW90-Regular" w:cs="Cambria"/>
          <w:highlight w:val="green"/>
          <w:u w:color="FF0000"/>
        </w:rPr>
        <w:t xml:space="preserve"> show</w:t>
      </w:r>
      <w:r w:rsidRPr="00163D24">
        <w:rPr>
          <w:rFonts w:ascii="ShangralaW90-Regular" w:eastAsia="Cambria" w:hAnsi="ShangralaW90-Regular" w:cs="Cambria"/>
          <w:u w:color="FF0000"/>
        </w:rPr>
        <w:t xml:space="preserve"> that Malaysia's investment in logistics and communications was greater than that in trade and reparation, real estate, industrial estate and business activities, and other tertiary sub-sectors. The Malaysian investment in logistics companies in Riau Islands, that may apply the halal standard, will probably strengthen the halal supply chain (Tieman, 2011) in the province.</w:t>
      </w:r>
    </w:p>
    <w:p w14:paraId="44830C47" w14:textId="77777777" w:rsidR="00163D24" w:rsidRDefault="00163D24" w:rsidP="00163D24">
      <w:pPr>
        <w:pStyle w:val="Body"/>
        <w:jc w:val="both"/>
        <w:rPr>
          <w:rFonts w:ascii="Lato" w:eastAsia="Cambria" w:hAnsi="Lato" w:cs="Cambria"/>
          <w:b/>
          <w:color w:val="1F4E79" w:themeColor="accent5" w:themeShade="80"/>
          <w:sz w:val="24"/>
          <w:szCs w:val="24"/>
          <w:u w:color="FF0000"/>
        </w:rPr>
      </w:pPr>
    </w:p>
    <w:p w14:paraId="727ACE64" w14:textId="77777777" w:rsidR="006079D5" w:rsidRPr="00622A0C" w:rsidRDefault="003461B6" w:rsidP="00AF775F">
      <w:pPr>
        <w:pStyle w:val="Body"/>
        <w:spacing w:after="120"/>
        <w:jc w:val="both"/>
        <w:rPr>
          <w:rFonts w:ascii="ShangralaW90-Regular" w:eastAsia="Cambria" w:hAnsi="ShangralaW90-Regular" w:cs="Cambria"/>
          <w:u w:color="FF0000"/>
        </w:rPr>
      </w:pPr>
      <w:r>
        <w:rPr>
          <w:rFonts w:ascii="Lato" w:eastAsia="Cambria" w:hAnsi="Lato" w:cs="Cambria"/>
          <w:b/>
          <w:color w:val="1F4E79" w:themeColor="accent5" w:themeShade="80"/>
          <w:sz w:val="24"/>
          <w:szCs w:val="24"/>
          <w:u w:color="FF0000"/>
        </w:rPr>
        <w:t>Conclusion</w:t>
      </w:r>
    </w:p>
    <w:p w14:paraId="6C4CC0EB" w14:textId="1856C8C6" w:rsidR="00163D24" w:rsidRPr="00163D24" w:rsidRDefault="003461B6" w:rsidP="009C55AC">
      <w:pPr>
        <w:pStyle w:val="Body"/>
        <w:ind w:firstLine="567"/>
        <w:jc w:val="both"/>
        <w:rPr>
          <w:rFonts w:ascii="ShangralaW90-Regular" w:eastAsia="Cambria" w:hAnsi="ShangralaW90-Regular" w:cs="Cambria"/>
          <w:u w:color="FF0000"/>
        </w:rPr>
      </w:pPr>
      <w:r w:rsidRPr="00163D24">
        <w:rPr>
          <w:rFonts w:ascii="ShangralaW90-Regular" w:eastAsia="Cambria" w:hAnsi="ShangralaW90-Regular" w:cs="Cambria"/>
          <w:u w:color="FF0000"/>
        </w:rPr>
        <w:t>This study reached the concussion that Singapore generally ha</w:t>
      </w:r>
      <w:r w:rsidR="00CE7076">
        <w:rPr>
          <w:rFonts w:ascii="ShangralaW90-Regular" w:eastAsia="Cambria" w:hAnsi="ShangralaW90-Regular" w:cs="Cambria"/>
          <w:u w:color="FF0000"/>
        </w:rPr>
        <w:t>s</w:t>
      </w:r>
      <w:r w:rsidRPr="00163D24">
        <w:rPr>
          <w:rFonts w:ascii="ShangralaW90-Regular" w:eastAsia="Cambria" w:hAnsi="ShangralaW90-Regular" w:cs="Cambria"/>
          <w:u w:color="FF0000"/>
        </w:rPr>
        <w:t xml:space="preserve"> a strong commitment to investing in Riau Islands. Singapore's investment commitment was stronger than Malaysia's, East Asian Countries', and U</w:t>
      </w:r>
      <w:r w:rsidR="00B31035">
        <w:rPr>
          <w:rFonts w:ascii="ShangralaW90-Regular" w:eastAsia="Cambria" w:hAnsi="ShangralaW90-Regular" w:cs="Cambria"/>
          <w:u w:color="FF0000"/>
        </w:rPr>
        <w:t>S</w:t>
      </w:r>
      <w:r w:rsidRPr="00163D24">
        <w:rPr>
          <w:rFonts w:ascii="ShangralaW90-Regular" w:eastAsia="Cambria" w:hAnsi="ShangralaW90-Regular" w:cs="Cambria"/>
          <w:u w:color="FF0000"/>
        </w:rPr>
        <w:t xml:space="preserve">' investment commitment. Malaysia's total and manufacturing FDI were greater than those of the USA. In the non-manufacturing sector, Malaysia's FDI was greater than FDI from the USA and East Asian Countries. The research findings demonstrated that in terms of the value of the investment, Singapore specialized in the manufacturing sector while Malaysia specialized in the non-manufacturing sector. Even if Malaysia specialized in the non-manufacturing sector, Singapore's investment value </w:t>
      </w:r>
      <w:r w:rsidR="00B02F0B" w:rsidRPr="00B02F0B">
        <w:rPr>
          <w:rFonts w:ascii="ShangralaW90-Regular" w:eastAsia="Cambria" w:hAnsi="ShangralaW90-Regular" w:cs="Cambria"/>
          <w:highlight w:val="green"/>
          <w:u w:color="FF0000"/>
        </w:rPr>
        <w:t>in</w:t>
      </w:r>
      <w:r w:rsidR="00B02F0B">
        <w:rPr>
          <w:rFonts w:ascii="ShangralaW90-Regular" w:eastAsia="Cambria" w:hAnsi="ShangralaW90-Regular" w:cs="Cambria"/>
          <w:u w:color="FF0000"/>
        </w:rPr>
        <w:t xml:space="preserve"> the </w:t>
      </w:r>
      <w:r w:rsidRPr="00163D24">
        <w:rPr>
          <w:rFonts w:ascii="ShangralaW90-Regular" w:eastAsia="Cambria" w:hAnsi="ShangralaW90-Regular" w:cs="Cambria"/>
          <w:u w:color="FF0000"/>
        </w:rPr>
        <w:t xml:space="preserve">non-manufacturing sector </w:t>
      </w:r>
      <w:r w:rsidR="00B02F0B" w:rsidRPr="00B02F0B">
        <w:rPr>
          <w:rFonts w:ascii="ShangralaW90-Regular" w:eastAsia="Cambria" w:hAnsi="ShangralaW90-Regular" w:cs="Cambria"/>
          <w:highlight w:val="green"/>
          <w:u w:color="FF0000"/>
        </w:rPr>
        <w:t>was</w:t>
      </w:r>
      <w:r w:rsidR="00B02F0B">
        <w:rPr>
          <w:rFonts w:ascii="ShangralaW90-Regular" w:eastAsia="Cambria" w:hAnsi="ShangralaW90-Regular" w:cs="Cambria"/>
          <w:u w:color="FF0000"/>
        </w:rPr>
        <w:t xml:space="preserve"> </w:t>
      </w:r>
      <w:r w:rsidRPr="00163D24">
        <w:rPr>
          <w:rFonts w:ascii="ShangralaW90-Regular" w:eastAsia="Cambria" w:hAnsi="ShangralaW90-Regular" w:cs="Cambria"/>
          <w:u w:color="FF0000"/>
        </w:rPr>
        <w:t xml:space="preserve">much higher </w:t>
      </w:r>
      <w:r w:rsidR="00B02F0B" w:rsidRPr="00B02F0B">
        <w:rPr>
          <w:rFonts w:ascii="ShangralaW90-Regular" w:eastAsia="Cambria" w:hAnsi="ShangralaW90-Regular" w:cs="Cambria"/>
          <w:highlight w:val="green"/>
          <w:u w:color="FF0000"/>
        </w:rPr>
        <w:t>than</w:t>
      </w:r>
      <w:r w:rsidR="00B02F0B">
        <w:rPr>
          <w:rFonts w:ascii="ShangralaW90-Regular" w:eastAsia="Cambria" w:hAnsi="ShangralaW90-Regular" w:cs="Cambria"/>
          <w:u w:color="FF0000"/>
        </w:rPr>
        <w:t xml:space="preserve"> </w:t>
      </w:r>
      <w:r w:rsidRPr="00163D24">
        <w:rPr>
          <w:rFonts w:ascii="ShangralaW90-Regular" w:eastAsia="Cambria" w:hAnsi="ShangralaW90-Regular" w:cs="Cambria"/>
          <w:u w:color="FF0000"/>
        </w:rPr>
        <w:t xml:space="preserve">that of Malaysia. </w:t>
      </w:r>
    </w:p>
    <w:p w14:paraId="5791FB78" w14:textId="0C757225" w:rsidR="00163D24" w:rsidRPr="00163D24" w:rsidRDefault="003461B6" w:rsidP="00163D24">
      <w:pPr>
        <w:pStyle w:val="Body"/>
        <w:ind w:firstLine="567"/>
        <w:jc w:val="both"/>
        <w:rPr>
          <w:rFonts w:ascii="ShangralaW90-Regular" w:eastAsia="Cambria" w:hAnsi="ShangralaW90-Regular" w:cs="Cambria"/>
          <w:u w:color="FF0000"/>
        </w:rPr>
      </w:pPr>
      <w:r w:rsidRPr="00163D24">
        <w:rPr>
          <w:rFonts w:ascii="ShangralaW90-Regular" w:eastAsia="Cambria" w:hAnsi="ShangralaW90-Regular" w:cs="Cambria"/>
          <w:u w:color="FF0000"/>
        </w:rPr>
        <w:t xml:space="preserve">This research </w:t>
      </w:r>
      <w:r w:rsidR="00955983">
        <w:rPr>
          <w:rFonts w:ascii="ShangralaW90-Regular" w:eastAsia="Cambria" w:hAnsi="ShangralaW90-Regular" w:cs="Cambria"/>
          <w:u w:color="FF0000"/>
        </w:rPr>
        <w:t>implies</w:t>
      </w:r>
      <w:r w:rsidRPr="00163D24">
        <w:rPr>
          <w:rFonts w:ascii="ShangralaW90-Regular" w:eastAsia="Cambria" w:hAnsi="ShangralaW90-Regular" w:cs="Cambria"/>
          <w:u w:color="FF0000"/>
        </w:rPr>
        <w:t xml:space="preserve"> that</w:t>
      </w:r>
      <w:r w:rsidR="007F3292">
        <w:rPr>
          <w:rFonts w:ascii="ShangralaW90-Regular" w:eastAsia="Cambria" w:hAnsi="ShangralaW90-Regular" w:cs="Cambria"/>
          <w:u w:color="FF0000"/>
        </w:rPr>
        <w:t xml:space="preserve"> </w:t>
      </w:r>
      <w:r w:rsidRPr="00163D24">
        <w:rPr>
          <w:rFonts w:ascii="ShangralaW90-Regular" w:eastAsia="Cambria" w:hAnsi="ShangralaW90-Regular" w:cs="Cambria"/>
          <w:u w:color="FF0000"/>
        </w:rPr>
        <w:t xml:space="preserve">dependence determines the long-run </w:t>
      </w:r>
      <w:r w:rsidR="00C408A7">
        <w:rPr>
          <w:rFonts w:ascii="ShangralaW90-Regular" w:eastAsia="Cambria" w:hAnsi="ShangralaW90-Regular" w:cs="Cambria"/>
          <w:u w:color="FF0000"/>
        </w:rPr>
        <w:t xml:space="preserve">investment </w:t>
      </w:r>
      <w:r w:rsidRPr="00163D24">
        <w:rPr>
          <w:rFonts w:ascii="ShangralaW90-Regular" w:eastAsia="Cambria" w:hAnsi="ShangralaW90-Regular" w:cs="Cambria"/>
          <w:u w:color="FF0000"/>
        </w:rPr>
        <w:t>commitment. Singapore highly depends on Riau Islands, as its extended metropolitan region, not only for its land-intensive industries and natural resource exploitation but also for the provision of leisure amenities for its residents</w:t>
      </w:r>
      <w:r w:rsidR="007F3292">
        <w:rPr>
          <w:rFonts w:ascii="ShangralaW90-Regular" w:eastAsia="Cambria" w:hAnsi="ShangralaW90-Regular" w:cs="Cambria"/>
          <w:u w:color="FF0000"/>
        </w:rPr>
        <w:t xml:space="preserve"> </w:t>
      </w:r>
      <w:r w:rsidRPr="00163D24">
        <w:rPr>
          <w:rFonts w:ascii="ShangralaW90-Regular" w:eastAsia="Cambria" w:hAnsi="ShangralaW90-Regular" w:cs="Cambria"/>
          <w:u w:color="FF0000"/>
        </w:rPr>
        <w:t>(Grundy-Warr &amp; Perry, 2001; Kakazu, 1999; Macleod and McGee, 1996). Author</w:t>
      </w:r>
      <w:r w:rsidR="007F3292">
        <w:rPr>
          <w:rFonts w:ascii="ShangralaW90-Regular" w:eastAsia="Cambria" w:hAnsi="ShangralaW90-Regular" w:cs="Cambria"/>
          <w:u w:color="FF0000"/>
        </w:rPr>
        <w:t>s</w:t>
      </w:r>
      <w:r w:rsidRPr="00163D24">
        <w:rPr>
          <w:rFonts w:ascii="ShangralaW90-Regular" w:eastAsia="Cambria" w:hAnsi="ShangralaW90-Regular" w:cs="Cambria"/>
          <w:u w:color="FF0000"/>
        </w:rPr>
        <w:t xml:space="preserve"> assumed that Malaysia's non-manufacturing investment in Riau Islands is not a land-intensive </w:t>
      </w:r>
      <w:r w:rsidRPr="00163D24">
        <w:rPr>
          <w:rFonts w:ascii="ShangralaW90-Regular" w:eastAsia="Cambria" w:hAnsi="ShangralaW90-Regular" w:cs="Cambria"/>
          <w:u w:color="FF0000"/>
        </w:rPr>
        <w:lastRenderedPageBreak/>
        <w:t xml:space="preserve">business. A large amount of Malaysia's non-manufacturing investment in Riau was caused by factors that are not related to lands and unable to be identified in this research. </w:t>
      </w:r>
      <w:r w:rsidRPr="00960F6B">
        <w:rPr>
          <w:rFonts w:ascii="ShangralaW90-Regular" w:eastAsia="Cambria" w:hAnsi="ShangralaW90-Regular" w:cs="Cambria"/>
          <w:highlight w:val="green"/>
          <w:u w:color="FF0000"/>
        </w:rPr>
        <w:t>Therefore, Malaysia does not depend much on the land of the Riau Islands because Malaysia still has potential areas to be developed</w:t>
      </w:r>
      <w:r w:rsidRPr="00163D24">
        <w:rPr>
          <w:rFonts w:ascii="ShangralaW90-Regular" w:eastAsia="Cambria" w:hAnsi="ShangralaW90-Regular" w:cs="Cambria"/>
          <w:u w:color="FF0000"/>
        </w:rPr>
        <w:t xml:space="preserve">. </w:t>
      </w:r>
    </w:p>
    <w:p w14:paraId="16690D6D" w14:textId="77777777" w:rsidR="00163D24" w:rsidRPr="00163D24" w:rsidRDefault="003461B6" w:rsidP="00163D24">
      <w:pPr>
        <w:pStyle w:val="Body"/>
        <w:ind w:firstLine="567"/>
        <w:jc w:val="both"/>
        <w:rPr>
          <w:rFonts w:ascii="ShangralaW90-Regular" w:eastAsia="Cambria" w:hAnsi="ShangralaW90-Regular" w:cs="Cambria"/>
          <w:u w:color="FF0000"/>
        </w:rPr>
      </w:pPr>
      <w:r w:rsidRPr="00960F6B">
        <w:rPr>
          <w:rFonts w:ascii="ShangralaW90-Regular" w:eastAsia="Cambria" w:hAnsi="ShangralaW90-Regular" w:cs="Cambria"/>
          <w:highlight w:val="green"/>
          <w:u w:color="FF0000"/>
        </w:rPr>
        <w:t>Singapore invested in the sub-sector of medical precision and optical instrument, watch and clock, machinery, electrical and electronic industry because it has comparative advantages in the subsectors (UNCTAD, n.d.). Malaysia also invested in food subsectors due to having comparative advantages in the subsectors</w:t>
      </w:r>
      <w:r w:rsidR="00407003" w:rsidRPr="00960F6B">
        <w:rPr>
          <w:rFonts w:ascii="ShangralaW90-Regular" w:eastAsia="Cambria" w:hAnsi="ShangralaW90-Regular" w:cs="Cambria"/>
          <w:highlight w:val="green"/>
          <w:u w:color="FF0000"/>
        </w:rPr>
        <w:t xml:space="preserve"> </w:t>
      </w:r>
      <w:r w:rsidRPr="00960F6B">
        <w:rPr>
          <w:rFonts w:ascii="ShangralaW90-Regular" w:eastAsia="Cambria" w:hAnsi="ShangralaW90-Regular" w:cs="Cambria"/>
          <w:highlight w:val="green"/>
          <w:u w:color="FF0000"/>
        </w:rPr>
        <w:t>(UNCTAD, n.d.)</w:t>
      </w:r>
      <w:r w:rsidRPr="004553AB">
        <w:rPr>
          <w:rFonts w:ascii="ShangralaW90-Regular" w:eastAsia="Cambria" w:hAnsi="ShangralaW90-Regular" w:cs="Cambria"/>
          <w:u w:color="FF0000"/>
        </w:rPr>
        <w:t xml:space="preserve"> and took the advantage of the halal market (Pew Research Center, 2015; SalaamGateway, 2020).  Singapore invested in hotels and restaurants to take the opportunity of leisure business that many Singaporean residents spent their weekends in the Riau Islands (Grundy-Warr&amp; Perry, 2001). Malaysia invested more in logistics and communication probably due to taking advantage of the halal market and supply chain (Pew Research Center, 2015; SalaamGateway, 2020; Tieman, 2011).</w:t>
      </w:r>
      <w:r w:rsidRPr="00163D24">
        <w:rPr>
          <w:rFonts w:ascii="ShangralaW90-Regular" w:eastAsia="Cambria" w:hAnsi="ShangralaW90-Regular" w:cs="Cambria"/>
          <w:u w:color="FF0000"/>
        </w:rPr>
        <w:t xml:space="preserve"> </w:t>
      </w:r>
    </w:p>
    <w:p w14:paraId="5734D87A" w14:textId="6694AEE4" w:rsidR="00163D24" w:rsidRPr="00163D24" w:rsidRDefault="003461B6" w:rsidP="00163D24">
      <w:pPr>
        <w:pStyle w:val="Body"/>
        <w:ind w:firstLine="567"/>
        <w:jc w:val="both"/>
        <w:rPr>
          <w:rFonts w:ascii="ShangralaW90-Regular" w:eastAsia="Cambria" w:hAnsi="ShangralaW90-Regular" w:cs="Cambria"/>
          <w:u w:color="FF0000"/>
        </w:rPr>
      </w:pPr>
      <w:r w:rsidRPr="00163D24">
        <w:rPr>
          <w:rFonts w:ascii="ShangralaW90-Regular" w:eastAsia="Cambria" w:hAnsi="ShangralaW90-Regular" w:cs="Cambria"/>
          <w:u w:color="FF0000"/>
        </w:rPr>
        <w:t xml:space="preserve">The findings of this research </w:t>
      </w:r>
      <w:r w:rsidR="00955983">
        <w:rPr>
          <w:rFonts w:ascii="ShangralaW90-Regular" w:eastAsia="Cambria" w:hAnsi="ShangralaW90-Regular" w:cs="Cambria"/>
          <w:u w:color="FF0000"/>
        </w:rPr>
        <w:t xml:space="preserve">also </w:t>
      </w:r>
      <w:r w:rsidRPr="00163D24">
        <w:rPr>
          <w:rFonts w:ascii="ShangralaW90-Regular" w:eastAsia="Cambria" w:hAnsi="ShangralaW90-Regular" w:cs="Cambria"/>
          <w:u w:color="FF0000"/>
        </w:rPr>
        <w:t>impl</w:t>
      </w:r>
      <w:r w:rsidR="002B3DD7">
        <w:rPr>
          <w:rFonts w:ascii="ShangralaW90-Regular" w:eastAsia="Cambria" w:hAnsi="ShangralaW90-Regular" w:cs="Cambria"/>
          <w:u w:color="FF0000"/>
        </w:rPr>
        <w:t xml:space="preserve">y </w:t>
      </w:r>
      <w:r w:rsidRPr="00163D24">
        <w:rPr>
          <w:rFonts w:ascii="ShangralaW90-Regular" w:eastAsia="Cambria" w:hAnsi="ShangralaW90-Regular" w:cs="Cambria"/>
          <w:u w:color="FF0000"/>
        </w:rPr>
        <w:t xml:space="preserve">that </w:t>
      </w:r>
      <w:r w:rsidR="002B3DD7" w:rsidRPr="002B3DD7">
        <w:rPr>
          <w:rFonts w:ascii="ShangralaW90-Regular" w:eastAsia="Cambria" w:hAnsi="ShangralaW90-Regular" w:cs="Cambria"/>
          <w:highlight w:val="green"/>
          <w:u w:color="FF0000"/>
        </w:rPr>
        <w:t>Indonesian central and local authorities</w:t>
      </w:r>
      <w:r w:rsidRPr="00163D24">
        <w:rPr>
          <w:rFonts w:ascii="ShangralaW90-Regular" w:eastAsia="Cambria" w:hAnsi="ShangralaW90-Regular" w:cs="Cambria"/>
          <w:u w:color="FF0000"/>
        </w:rPr>
        <w:t xml:space="preserve"> must keep the price of land and rent of industrial estate competitive to attract investment in hi-tech and land-intensive industries from Singapore having a scarcity of land and from other countries.  JETRO found that the prices of industrial estate </w:t>
      </w:r>
      <w:r w:rsidRPr="006564A3">
        <w:rPr>
          <w:rFonts w:ascii="ShangralaW90-Regular" w:eastAsia="Cambria" w:hAnsi="ShangralaW90-Regular" w:cs="Cambria"/>
          <w:highlight w:val="green"/>
          <w:u w:color="FF0000"/>
        </w:rPr>
        <w:t xml:space="preserve">lands in </w:t>
      </w:r>
      <w:proofErr w:type="spellStart"/>
      <w:r w:rsidRPr="006564A3">
        <w:rPr>
          <w:rFonts w:ascii="ShangralaW90-Regular" w:eastAsia="Cambria" w:hAnsi="ShangralaW90-Regular" w:cs="Cambria"/>
          <w:highlight w:val="green"/>
          <w:u w:color="FF0000"/>
        </w:rPr>
        <w:t>Batam</w:t>
      </w:r>
      <w:proofErr w:type="spellEnd"/>
      <w:r w:rsidRPr="006564A3">
        <w:rPr>
          <w:rFonts w:ascii="ShangralaW90-Regular" w:eastAsia="Cambria" w:hAnsi="ShangralaW90-Regular" w:cs="Cambria"/>
          <w:highlight w:val="green"/>
          <w:u w:color="FF0000"/>
        </w:rPr>
        <w:t xml:space="preserve"> </w:t>
      </w:r>
      <w:r w:rsidR="006564A3" w:rsidRPr="006564A3">
        <w:rPr>
          <w:rFonts w:ascii="ShangralaW90-Regular" w:eastAsia="Cambria" w:hAnsi="ShangralaW90-Regular" w:cs="Cambria"/>
          <w:highlight w:val="green"/>
          <w:u w:color="FF0000"/>
        </w:rPr>
        <w:t>is less competitive</w:t>
      </w:r>
      <w:r w:rsidRPr="00163D24">
        <w:rPr>
          <w:rFonts w:ascii="ShangralaW90-Regular" w:eastAsia="Cambria" w:hAnsi="ShangralaW90-Regular" w:cs="Cambria"/>
          <w:u w:color="FF0000"/>
        </w:rPr>
        <w:t xml:space="preserve"> </w:t>
      </w:r>
      <w:r w:rsidR="004E169A" w:rsidRPr="004E169A">
        <w:rPr>
          <w:rFonts w:ascii="ShangralaW90-Regular" w:eastAsia="Cambria" w:hAnsi="ShangralaW90-Regular" w:cs="Cambria"/>
          <w:highlight w:val="green"/>
          <w:u w:color="FF0000"/>
        </w:rPr>
        <w:t>than those in other cities in Indonesia and other ASEAN countries</w:t>
      </w:r>
      <w:r w:rsidR="004E169A">
        <w:rPr>
          <w:rFonts w:ascii="ShangralaW90-Regular" w:eastAsia="Cambria" w:hAnsi="ShangralaW90-Regular" w:cs="Cambria"/>
          <w:u w:color="FF0000"/>
        </w:rPr>
        <w:t xml:space="preserve"> </w:t>
      </w:r>
      <w:r w:rsidRPr="00163D24">
        <w:rPr>
          <w:rFonts w:ascii="ShangralaW90-Regular" w:eastAsia="Cambria" w:hAnsi="ShangralaW90-Regular" w:cs="Cambria"/>
          <w:u w:color="FF0000"/>
        </w:rPr>
        <w:t xml:space="preserve">(JETRO, 2016, 2021).  In addition, to reap the benefit of cross-border halal trade and Malaysian Companies' export access, it is essential to provide better halal-related services for halal-related companies in Riau Islands. Improvement of halal-related services in Indonesia is enabled by the 2021 Government Regulation on Halal Product Assurance, as a derivative of the 2020 Law on Job Creation (GoI, </w:t>
      </w:r>
      <w:r w:rsidRPr="00960F6B">
        <w:rPr>
          <w:rFonts w:ascii="ShangralaW90-Regular" w:eastAsia="Cambria" w:hAnsi="ShangralaW90-Regular" w:cs="Cambria"/>
          <w:highlight w:val="green"/>
          <w:u w:color="FF0000"/>
        </w:rPr>
        <w:t>2021</w:t>
      </w:r>
      <w:r w:rsidRPr="00163D24">
        <w:rPr>
          <w:rFonts w:ascii="ShangralaW90-Regular" w:eastAsia="Cambria" w:hAnsi="ShangralaW90-Regular" w:cs="Cambria"/>
          <w:u w:color="FF0000"/>
        </w:rPr>
        <w:t>).</w:t>
      </w:r>
    </w:p>
    <w:p w14:paraId="5E37F08A" w14:textId="56CEB2BB" w:rsidR="00412070" w:rsidRDefault="003461B6" w:rsidP="006E6C37">
      <w:pPr>
        <w:pStyle w:val="Body"/>
        <w:ind w:firstLine="567"/>
        <w:contextualSpacing/>
        <w:jc w:val="both"/>
        <w:rPr>
          <w:rFonts w:ascii="ShangralaW90-Regular" w:eastAsia="Cambria" w:hAnsi="ShangralaW90-Regular" w:cs="Cambria"/>
          <w:u w:color="FF0000"/>
        </w:rPr>
      </w:pPr>
      <w:r w:rsidRPr="00163D24">
        <w:rPr>
          <w:rFonts w:ascii="ShangralaW90-Regular" w:eastAsia="Cambria" w:hAnsi="ShangralaW90-Regular" w:cs="Cambria"/>
          <w:u w:color="FF0000"/>
        </w:rPr>
        <w:t xml:space="preserve">This paper then suggested at least two necessary researches in the future. The first is the importance of doing research on FDI in primary, secondary, and tertiary subsectors by country origin (Singapore, Malaysia, and some other countries)  in the Riau Islands and other provinces in Indonesia to investigate more findings from Grunsven and Hutchinson (2014 and 2017) and Hutchinson and Grunsven (2018) because this study only covered sub sectoral FDIs from Singapore and Malaysia. The second is that the research on the impact of extended metropolitan regions on manufacturing development in </w:t>
      </w:r>
      <w:r w:rsidRPr="00141BE4">
        <w:rPr>
          <w:rFonts w:ascii="ShangralaW90-Regular" w:eastAsia="Cambria" w:hAnsi="ShangralaW90-Regular" w:cs="Cambria"/>
          <w:highlight w:val="green"/>
          <w:u w:color="FF0000"/>
        </w:rPr>
        <w:t>the neighboring cit</w:t>
      </w:r>
      <w:r w:rsidR="00297A93">
        <w:rPr>
          <w:rFonts w:ascii="ShangralaW90-Regular" w:eastAsia="Cambria" w:hAnsi="ShangralaW90-Regular" w:cs="Cambria"/>
          <w:highlight w:val="green"/>
          <w:u w:color="FF0000"/>
        </w:rPr>
        <w:t>ies</w:t>
      </w:r>
      <w:r w:rsidRPr="00141BE4">
        <w:rPr>
          <w:rFonts w:ascii="ShangralaW90-Regular" w:eastAsia="Cambria" w:hAnsi="ShangralaW90-Regular" w:cs="Cambria"/>
          <w:highlight w:val="green"/>
          <w:u w:color="FF0000"/>
        </w:rPr>
        <w:t xml:space="preserve"> of Singapore should be conducted</w:t>
      </w:r>
      <w:r w:rsidRPr="00163D24">
        <w:rPr>
          <w:rFonts w:ascii="ShangralaW90-Regular" w:eastAsia="Cambria" w:hAnsi="ShangralaW90-Regular" w:cs="Cambria"/>
          <w:u w:color="FF0000"/>
        </w:rPr>
        <w:t xml:space="preserve"> in the future to provide more information about the difference in industrial development in the periphery of Singapore and to develop the previous findings from Kakazu (1999), Mcgee and Greenberg (1992), and Macleod and McGee (1996).</w:t>
      </w:r>
    </w:p>
    <w:p w14:paraId="46CA9A06" w14:textId="77777777" w:rsidR="006564A3" w:rsidRDefault="006564A3" w:rsidP="006E6C37">
      <w:pPr>
        <w:pStyle w:val="Body"/>
        <w:contextualSpacing/>
        <w:jc w:val="both"/>
        <w:rPr>
          <w:rFonts w:ascii="ShangralaW90-Regular" w:eastAsia="Cambria" w:hAnsi="ShangralaW90-Regular" w:cs="Cambria"/>
          <w:u w:color="FF0000"/>
        </w:rPr>
      </w:pPr>
    </w:p>
    <w:p w14:paraId="6583C1C0" w14:textId="77777777" w:rsidR="006079D5" w:rsidRPr="00CA522C" w:rsidRDefault="003461B6" w:rsidP="00F93D5E">
      <w:pPr>
        <w:pStyle w:val="FootnoteText"/>
        <w:spacing w:after="120" w:line="276" w:lineRule="auto"/>
        <w:contextualSpacing/>
        <w:rPr>
          <w:rFonts w:ascii="Lato" w:eastAsia="Cambria" w:hAnsi="Lato" w:cs="Cambria"/>
          <w:b/>
          <w:bCs/>
          <w:color w:val="1F4E79" w:themeColor="accent5" w:themeShade="80"/>
          <w:sz w:val="24"/>
          <w:szCs w:val="24"/>
        </w:rPr>
      </w:pPr>
      <w:r w:rsidRPr="00CA522C">
        <w:rPr>
          <w:rFonts w:ascii="Lato" w:eastAsia="Cambria" w:hAnsi="Lato" w:cs="Cambria"/>
          <w:b/>
          <w:bCs/>
          <w:color w:val="1F4E79" w:themeColor="accent5" w:themeShade="80"/>
          <w:sz w:val="24"/>
          <w:szCs w:val="24"/>
        </w:rPr>
        <w:t>References</w:t>
      </w:r>
    </w:p>
    <w:p w14:paraId="0AACE055"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 (1990). Statistik Indonesia 1990. Book, 1–593.</w:t>
      </w:r>
    </w:p>
    <w:p w14:paraId="2526E0D7"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 (1991). Statistical Yearbook of Indonesia 1990.</w:t>
      </w:r>
    </w:p>
    <w:p w14:paraId="5F8C6847"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 (1992). Statistical Yearbook of Indonesia 1991.</w:t>
      </w:r>
    </w:p>
    <w:p w14:paraId="28895345"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 (1996). Statistical Yearbook of Indonesia 1995.</w:t>
      </w:r>
    </w:p>
    <w:p w14:paraId="374C51FD"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 (2007). Statistical Yearbook of Indonesia 2007.</w:t>
      </w:r>
    </w:p>
    <w:p w14:paraId="05F21B2C"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 (2021). Statistical Yearbook of Indonesia 2021.</w:t>
      </w:r>
    </w:p>
    <w:p w14:paraId="34092CAB"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BPSRiauIslands. (2004). Kepulauan Riau in Figures 2003.</w:t>
      </w:r>
    </w:p>
    <w:p w14:paraId="5F03731C" w14:textId="77777777" w:rsidR="00F93D5E" w:rsidRP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BPSRiauIslands. (2021). Kepulauan Riau in Figure 2021.</w:t>
      </w:r>
    </w:p>
    <w:p w14:paraId="2263F4F5"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lastRenderedPageBreak/>
        <w:t xml:space="preserve">Cleff, T. (2019). Applied Statistics and Multivariate Data Analysis for Business and Economics. In Applied Statistics and Multivariate Data Analysis for Business and Economics. </w:t>
      </w:r>
      <w:hyperlink r:id="rId23" w:history="1">
        <w:r w:rsidRPr="005B32D9">
          <w:rPr>
            <w:rStyle w:val="Hyperlink"/>
            <w:rFonts w:ascii="ShangralaW90-Regular" w:eastAsia="Palatino Linotype" w:hAnsi="ShangralaW90-Regular"/>
            <w:sz w:val="22"/>
            <w:szCs w:val="22"/>
          </w:rPr>
          <w:t>https://doi.org/10.1007/978-3-030-17767-6</w:t>
        </w:r>
      </w:hyperlink>
    </w:p>
    <w:p w14:paraId="6FB9112D"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DepartmentofStatisticsSingapura. (n.d.). Merchandise Trade: Merchandise Trade by Commodity Section/Division. </w:t>
      </w:r>
      <w:hyperlink r:id="rId24" w:history="1">
        <w:r w:rsidRPr="005B32D9">
          <w:rPr>
            <w:rStyle w:val="Hyperlink"/>
            <w:rFonts w:ascii="ShangralaW90-Regular" w:eastAsia="Palatino Linotype" w:hAnsi="ShangralaW90-Regular"/>
            <w:sz w:val="22"/>
            <w:szCs w:val="22"/>
          </w:rPr>
          <w:t>https://www.singstat.gov.sg/</w:t>
        </w:r>
      </w:hyperlink>
    </w:p>
    <w:p w14:paraId="29D4D1B4"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DinarStandard. (2019). 2019/2020 State of the Global Islamic Economy Report: Driving the Islamic Economy Revolution 4.0. </w:t>
      </w:r>
      <w:hyperlink r:id="rId25" w:history="1">
        <w:r w:rsidRPr="005B32D9">
          <w:rPr>
            <w:rStyle w:val="Hyperlink"/>
            <w:rFonts w:ascii="ShangralaW90-Regular" w:eastAsia="Palatino Linotype" w:hAnsi="ShangralaW90-Regular"/>
            <w:sz w:val="22"/>
            <w:szCs w:val="22"/>
          </w:rPr>
          <w:t>https://www.salaamgateway.com/specialcoverage/SGIE19-20</w:t>
        </w:r>
      </w:hyperlink>
    </w:p>
    <w:p w14:paraId="647D9EA9"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DinarStandard. (2020). 2020/2021 State of the Global Islamic Economy Report: Thriving in Uncertainty. </w:t>
      </w:r>
      <w:hyperlink r:id="rId26" w:history="1">
        <w:r w:rsidRPr="005B32D9">
          <w:rPr>
            <w:rStyle w:val="Hyperlink"/>
            <w:rFonts w:ascii="ShangralaW90-Regular" w:eastAsia="Palatino Linotype" w:hAnsi="ShangralaW90-Regular"/>
            <w:sz w:val="22"/>
            <w:szCs w:val="22"/>
          </w:rPr>
          <w:t>https://www.salaamgateway.com/specialcoverage/SGIE20-21</w:t>
        </w:r>
      </w:hyperlink>
    </w:p>
    <w:p w14:paraId="423CA30B" w14:textId="77777777" w:rsidR="00F93D5E" w:rsidRDefault="003461B6" w:rsidP="00F93D5E">
      <w:pPr>
        <w:tabs>
          <w:tab w:val="left" w:pos="4111"/>
        </w:tabs>
        <w:spacing w:line="276" w:lineRule="auto"/>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Gallant Venture. (n.d.). Corporate Info: Business Structure. </w:t>
      </w:r>
      <w:hyperlink r:id="rId27" w:history="1">
        <w:r w:rsidRPr="005B32D9">
          <w:rPr>
            <w:rStyle w:val="Hyperlink"/>
            <w:rFonts w:ascii="ShangralaW90-Regular" w:eastAsia="Palatino Linotype" w:hAnsi="ShangralaW90-Regular"/>
            <w:sz w:val="22"/>
            <w:szCs w:val="22"/>
          </w:rPr>
          <w:t>http://www.gallantventure.com/</w:t>
        </w:r>
      </w:hyperlink>
    </w:p>
    <w:p w14:paraId="2B47BB2F"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GoI. (20921). PP No. 39 Tahun 2021 tentang Penyelenggaraan Bidang Jaminan Produk Halal. Governemnt of Indonesia.</w:t>
      </w:r>
    </w:p>
    <w:p w14:paraId="79E4B9E9"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Grundy-Warr, C., &amp; Perry, M. (2001). Tourism in an Inter-State Borderland: The Case of the Indonesian-Singapore Cooperation. In K. C. Teo, P., Chang, T.C., &amp; Ho (Ed.), Interconnected Worlds: Tourism in Southeast Asia (pp. 64–83). Pergamon.</w:t>
      </w:r>
    </w:p>
    <w:p w14:paraId="56BD168E"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HistorySG. (1989). The formation of the SijoriGrowth Triangle is Announced on December 20, 1989. </w:t>
      </w:r>
      <w:hyperlink r:id="rId28" w:history="1">
        <w:r w:rsidRPr="005B32D9">
          <w:rPr>
            <w:rStyle w:val="Hyperlink"/>
            <w:rFonts w:ascii="ShangralaW90-Regular" w:eastAsia="Palatino Linotype" w:hAnsi="ShangralaW90-Regular"/>
            <w:sz w:val="22"/>
            <w:szCs w:val="22"/>
          </w:rPr>
          <w:t>https://eresources.nlb.gov.sg/history/events/bd4d0374-63ae-49fe-95c8-2210b3b0ac59</w:t>
        </w:r>
      </w:hyperlink>
    </w:p>
    <w:p w14:paraId="2F17299E"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Hutchinson, F.E., &amp; van Grunsven, L. (2018). Industry dynamics in Growth Triangles: the E&amp;E industry in SIJORI 25 years on. Asian-Pacific Economic Literature, 32(2), 42–63. </w:t>
      </w:r>
      <w:hyperlink r:id="rId29" w:history="1">
        <w:r w:rsidRPr="005B32D9">
          <w:rPr>
            <w:rStyle w:val="Hyperlink"/>
            <w:rFonts w:ascii="ShangralaW90-Regular" w:eastAsia="Palatino Linotype" w:hAnsi="ShangralaW90-Regular"/>
            <w:sz w:val="22"/>
            <w:szCs w:val="22"/>
          </w:rPr>
          <w:t>https://doi.org/10.1111/apel.12235</w:t>
        </w:r>
      </w:hyperlink>
    </w:p>
    <w:p w14:paraId="26A458AF"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Iskandar Regional Development Authority. (n.d.). Iskandar Malaysia Smart City. Iskandar Regional Development Authority. </w:t>
      </w:r>
      <w:hyperlink r:id="rId30" w:history="1">
        <w:r w:rsidRPr="005B32D9">
          <w:rPr>
            <w:rStyle w:val="Hyperlink"/>
            <w:rFonts w:ascii="ShangralaW90-Regular" w:eastAsia="Palatino Linotype" w:hAnsi="ShangralaW90-Regular"/>
            <w:sz w:val="22"/>
            <w:szCs w:val="22"/>
          </w:rPr>
          <w:t>https://www.google.com/url?sa=t&amp;rct=j&amp;q=&amp;esrc=s&amp;source=web&amp;cd=&amp;cad=rja&amp;uact=8&amp;ved=2ahUKEwj-nIuij4v1AhXdxjgGHYhqCV8QFnoECAYQAQ&amp;url=https%3A%2F%2Fiskandarmalaysia.com.my%2FSCIM%2Fdownload%2Fimsc_booklet.pdf&amp;usg=AOvVaw2ZK7pqmJQTI6xmeF7mn3Uq</w:t>
        </w:r>
      </w:hyperlink>
    </w:p>
    <w:p w14:paraId="09EAF397"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JETRO. (2016). Survey of Investment Related Costs in Asia and Oceania 2015/2016 (in Japanese). </w:t>
      </w:r>
      <w:hyperlink r:id="rId31" w:history="1">
        <w:r w:rsidRPr="005B32D9">
          <w:rPr>
            <w:rStyle w:val="Hyperlink"/>
            <w:rFonts w:ascii="ShangralaW90-Regular" w:eastAsia="Palatino Linotype" w:hAnsi="ShangralaW90-Regular"/>
            <w:sz w:val="22"/>
            <w:szCs w:val="22"/>
          </w:rPr>
          <w:t>https://www.jetro.go.jp/world/search/cost_result?countryId%5B%5D=600&amp;countryId%5B%5D=650&amp;countryId%5B%5D=700</w:t>
        </w:r>
      </w:hyperlink>
    </w:p>
    <w:p w14:paraId="158F9C4F"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JETRO. (2021). Survey of Investment Related Costs in Asia and Oceania 2020/2021 (in Japanese). </w:t>
      </w:r>
      <w:hyperlink r:id="rId32" w:history="1">
        <w:r w:rsidRPr="005B32D9">
          <w:rPr>
            <w:rStyle w:val="Hyperlink"/>
            <w:rFonts w:ascii="ShangralaW90-Regular" w:eastAsia="Palatino Linotype" w:hAnsi="ShangralaW90-Regular"/>
            <w:sz w:val="22"/>
            <w:szCs w:val="22"/>
          </w:rPr>
          <w:t>https://www.jetro.go.jp/world/search/cost_result?countryId%5B%5D=600&amp;countryId%5B%5D=650&amp;countryId%5B%5D=700</w:t>
        </w:r>
      </w:hyperlink>
    </w:p>
    <w:p w14:paraId="416C3BDF"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Kakazu, H. (1999). Growth Triangles in Asia: A New Approach to Regional Cooperation (No. 9; Politics and International Relation Series 1999-03).</w:t>
      </w:r>
    </w:p>
    <w:p w14:paraId="7041A430"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Lin, J. (2017, April 29). Malaysia heads Southeast Asia halal market standards: Malaysia leads the Southeast Asia region in halal product certification. Taiwan News. </w:t>
      </w:r>
      <w:hyperlink r:id="rId33" w:history="1">
        <w:r w:rsidRPr="005B32D9">
          <w:rPr>
            <w:rStyle w:val="Hyperlink"/>
            <w:rFonts w:ascii="ShangralaW90-Regular" w:eastAsia="Palatino Linotype" w:hAnsi="ShangralaW90-Regular"/>
            <w:sz w:val="22"/>
            <w:szCs w:val="22"/>
          </w:rPr>
          <w:t>https://www.taiwannews.com.tw/en/news/3151971</w:t>
        </w:r>
      </w:hyperlink>
    </w:p>
    <w:p w14:paraId="2144BEE6"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Lind, D.A., Marchal W.G., &amp; Wathen, S.A. (2018). Statistical Techniques in Business and Economics. McGraw-Hill Education.</w:t>
      </w:r>
    </w:p>
    <w:p w14:paraId="655C41F6"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Macleod, S., &amp; McGee, T.G. (1996). The Singapore-Johore-Riau Growth triangle: An emerging extended metropolitan region. In Fu-chen Lo and Yue-man Yeung (Ed.), Emerging world cities in Pacific Asia. United Nations University Press. </w:t>
      </w:r>
      <w:hyperlink r:id="rId34" w:history="1">
        <w:r w:rsidRPr="005B32D9">
          <w:rPr>
            <w:rStyle w:val="Hyperlink"/>
            <w:rFonts w:ascii="ShangralaW90-Regular" w:eastAsia="Palatino Linotype" w:hAnsi="ShangralaW90-Regular"/>
            <w:sz w:val="22"/>
            <w:szCs w:val="22"/>
          </w:rPr>
          <w:t>https://archive.unu.edu/unupress/unupbooks/uu11ee/uu11ee00.htm</w:t>
        </w:r>
      </w:hyperlink>
    </w:p>
    <w:p w14:paraId="1F5B745A"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Mcgee, T. G., &amp; Greenberg, C. (1992). The emergence of extended metropolitan regions in ASEAN: towards the year 2000. ASEAN Economic Bulletin, 9(1), 22–44. </w:t>
      </w:r>
      <w:hyperlink r:id="rId35" w:history="1">
        <w:r w:rsidRPr="005B32D9">
          <w:rPr>
            <w:rStyle w:val="Hyperlink"/>
            <w:rFonts w:ascii="ShangralaW90-Regular" w:eastAsia="Palatino Linotype" w:hAnsi="ShangralaW90-Regular"/>
            <w:sz w:val="22"/>
            <w:szCs w:val="22"/>
          </w:rPr>
          <w:t>https://doi.org/10.1355/AE9-1B</w:t>
        </w:r>
      </w:hyperlink>
    </w:p>
    <w:p w14:paraId="128B6F73"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lastRenderedPageBreak/>
        <w:t xml:space="preserve">NSWiMinistryofInvestment. (n.d.). Perkembangan Investasi 1990-2020. </w:t>
      </w:r>
      <w:hyperlink r:id="rId36" w:history="1">
        <w:r w:rsidRPr="005B32D9">
          <w:rPr>
            <w:rStyle w:val="Hyperlink"/>
            <w:rFonts w:ascii="ShangralaW90-Regular" w:eastAsia="Palatino Linotype" w:hAnsi="ShangralaW90-Regular"/>
            <w:sz w:val="22"/>
            <w:szCs w:val="22"/>
          </w:rPr>
          <w:t>https://nswi.bkpm.go.id/data_statistik</w:t>
        </w:r>
      </w:hyperlink>
    </w:p>
    <w:p w14:paraId="0A3F3E96"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Ooi, G. L. (1995). The Indonesia-Malaysia-Singapore Growth Triangle: Sub-regional economic cooperation and integration. GeoJournal, 36(4), 337–344. </w:t>
      </w:r>
      <w:hyperlink r:id="rId37" w:history="1">
        <w:r w:rsidRPr="005B32D9">
          <w:rPr>
            <w:rStyle w:val="Hyperlink"/>
            <w:rFonts w:ascii="ShangralaW90-Regular" w:eastAsia="Palatino Linotype" w:hAnsi="ShangralaW90-Regular"/>
            <w:sz w:val="22"/>
            <w:szCs w:val="22"/>
          </w:rPr>
          <w:t>https://doi.org/10.1007/BF00807948</w:t>
        </w:r>
      </w:hyperlink>
    </w:p>
    <w:p w14:paraId="3750AF9F"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Pew Research Center. (2015). Population Growth Projections, 2010-2050 - Why Muslims Are Rising Fastest and the Unaffiliated Are Shrinking as a Share of the World’s Population. The Future of World Religions. </w:t>
      </w:r>
      <w:hyperlink r:id="rId38" w:history="1">
        <w:r w:rsidRPr="005B32D9">
          <w:rPr>
            <w:rStyle w:val="Hyperlink"/>
            <w:rFonts w:ascii="ShangralaW90-Regular" w:eastAsia="Palatino Linotype" w:hAnsi="ShangralaW90-Regular"/>
            <w:sz w:val="22"/>
            <w:szCs w:val="22"/>
          </w:rPr>
          <w:t>https://www.pewforum.org/2015/04/02/religious-projections-2010-2050/%0A</w:t>
        </w:r>
      </w:hyperlink>
    </w:p>
    <w:p w14:paraId="2D6E4A45"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Rizzo, A., &amp; Glasson, J. (2012). City Profile: Iskandar Malaysia. Cities, 29(6), 417–427. </w:t>
      </w:r>
      <w:hyperlink r:id="rId39" w:history="1">
        <w:r w:rsidRPr="005B32D9">
          <w:rPr>
            <w:rStyle w:val="Hyperlink"/>
            <w:rFonts w:ascii="ShangralaW90-Regular" w:eastAsia="Palatino Linotype" w:hAnsi="ShangralaW90-Regular"/>
            <w:sz w:val="22"/>
            <w:szCs w:val="22"/>
          </w:rPr>
          <w:t>https://doi.org/10.1016/j.cities.2011.03.003</w:t>
        </w:r>
      </w:hyperlink>
    </w:p>
    <w:p w14:paraId="7B23F4EE"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SalaamGateway. (2020). Halal food industry: 2019-20 "momentous" with the launch of new national strategies. </w:t>
      </w:r>
      <w:hyperlink r:id="rId40" w:history="1">
        <w:r w:rsidRPr="005B32D9">
          <w:rPr>
            <w:rStyle w:val="Hyperlink"/>
            <w:rFonts w:ascii="ShangralaW90-Regular" w:eastAsia="Palatino Linotype" w:hAnsi="ShangralaW90-Regular"/>
            <w:sz w:val="22"/>
            <w:szCs w:val="22"/>
          </w:rPr>
          <w:t>https://www.salaamgateway.com/story/halal-food-industry-2019-20-momentus-period-with-launch-of-many-new-national-halal-strategies</w:t>
        </w:r>
      </w:hyperlink>
    </w:p>
    <w:p w14:paraId="2D7853AF"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ThomsonReuters. (2018). 2018/2019 State of the Global Islamic Economy Report: An Inclusive Ethical Economy. </w:t>
      </w:r>
      <w:hyperlink r:id="rId41" w:history="1">
        <w:r w:rsidRPr="005B32D9">
          <w:rPr>
            <w:rStyle w:val="Hyperlink"/>
            <w:rFonts w:ascii="ShangralaW90-Regular" w:eastAsia="Palatino Linotype" w:hAnsi="ShangralaW90-Regular"/>
            <w:sz w:val="22"/>
            <w:szCs w:val="22"/>
          </w:rPr>
          <w:t>https://www.salaamgateway.com/reports/report-state-of-the-global-islamic-economy-201819</w:t>
        </w:r>
      </w:hyperlink>
    </w:p>
    <w:p w14:paraId="7C2F38E9"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Tieman, M. (2011). The application of Halal in supply chain management: in‐depth interviews. Journal of Islamic Marketing, 2(2), 186–195. </w:t>
      </w:r>
      <w:hyperlink r:id="rId42" w:history="1">
        <w:r w:rsidRPr="005B32D9">
          <w:rPr>
            <w:rStyle w:val="Hyperlink"/>
            <w:rFonts w:ascii="ShangralaW90-Regular" w:eastAsia="Palatino Linotype" w:hAnsi="ShangralaW90-Regular"/>
            <w:sz w:val="22"/>
            <w:szCs w:val="22"/>
          </w:rPr>
          <w:t>https://doi.org/https://doi.org/10.1108/17590831111139893</w:t>
        </w:r>
      </w:hyperlink>
    </w:p>
    <w:p w14:paraId="3AA748C4"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UNCTAD. (n.d.). International Merchandise Trade Report: Revealed comparative advantage index. UNCTAD Statistics. </w:t>
      </w:r>
      <w:hyperlink r:id="rId43" w:history="1">
        <w:r w:rsidRPr="005B32D9">
          <w:rPr>
            <w:rStyle w:val="Hyperlink"/>
            <w:rFonts w:ascii="ShangralaW90-Regular" w:eastAsia="Palatino Linotype" w:hAnsi="ShangralaW90-Regular"/>
            <w:sz w:val="22"/>
            <w:szCs w:val="22"/>
          </w:rPr>
          <w:t>https://unctadstat.unctad.org/wds/TableViewer/dimView.aspx</w:t>
        </w:r>
      </w:hyperlink>
    </w:p>
    <w:p w14:paraId="3E9F6670"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van Grunsven, L., &amp; Hutchinson, F.E. (2014). The Evolution of the Electronics Industry in the SIJORI Cross-Border Region. ISEAS Yusof Ishak Institute. </w:t>
      </w:r>
      <w:hyperlink r:id="rId44" w:history="1">
        <w:r w:rsidRPr="005B32D9">
          <w:rPr>
            <w:rStyle w:val="Hyperlink"/>
            <w:rFonts w:ascii="ShangralaW90-Regular" w:eastAsia="Palatino Linotype" w:hAnsi="ShangralaW90-Regular"/>
            <w:sz w:val="22"/>
            <w:szCs w:val="22"/>
          </w:rPr>
          <w:t>http://hdl.handle.net/11540/6720</w:t>
        </w:r>
      </w:hyperlink>
      <w:r w:rsidRPr="00F93D5E">
        <w:rPr>
          <w:rFonts w:ascii="ShangralaW90-Regular" w:eastAsia="Palatino Linotype" w:hAnsi="ShangralaW90-Regular"/>
          <w:sz w:val="22"/>
          <w:szCs w:val="22"/>
        </w:rPr>
        <w:t>.</w:t>
      </w:r>
    </w:p>
    <w:p w14:paraId="0429AB5C"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van Grunsven, L., &amp; Hutchinson, F.E. (2017). The evolution of the electronics industry on Batam Island (Riau Islands Province, Indonesia): an evolutionary trajectory contributing to regional resilience? GeoJournal, 82(3), 475–492. </w:t>
      </w:r>
      <w:hyperlink r:id="rId45" w:history="1">
        <w:r w:rsidRPr="005B32D9">
          <w:rPr>
            <w:rStyle w:val="Hyperlink"/>
            <w:rFonts w:ascii="ShangralaW90-Regular" w:eastAsia="Palatino Linotype" w:hAnsi="ShangralaW90-Regular"/>
            <w:sz w:val="22"/>
            <w:szCs w:val="22"/>
          </w:rPr>
          <w:t>https://doi.org/10.1007/s10708-015-9692-9</w:t>
        </w:r>
      </w:hyperlink>
    </w:p>
    <w:p w14:paraId="4D9FA5A3"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Vu, K. M. (2013). Information and Communication Technology (ICT) and Singapore’s economic growth. Information Economics and Policy, 25(4), 284–300. </w:t>
      </w:r>
      <w:hyperlink r:id="rId46" w:history="1">
        <w:r w:rsidRPr="005B32D9">
          <w:rPr>
            <w:rStyle w:val="Hyperlink"/>
            <w:rFonts w:ascii="ShangralaW90-Regular" w:eastAsia="Palatino Linotype" w:hAnsi="ShangralaW90-Regular"/>
            <w:sz w:val="22"/>
            <w:szCs w:val="22"/>
          </w:rPr>
          <w:t>https://doi.org/https://doi.org/10.1016/j.infoecopol.2013.08.002</w:t>
        </w:r>
      </w:hyperlink>
    </w:p>
    <w:p w14:paraId="00A2476B"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Wadley, D., &amp; Parasati, H. (2000). Inside South East Asia’s Growth Triangles. 85(4), 323–334.</w:t>
      </w:r>
    </w:p>
    <w:p w14:paraId="6C9A883E" w14:textId="77777777" w:rsidR="00F93D5E" w:rsidRDefault="003461B6" w:rsidP="00F93D5E">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 xml:space="preserve">World Bank. (n.d.). World Development Indicator. </w:t>
      </w:r>
      <w:hyperlink r:id="rId47" w:history="1">
        <w:r w:rsidRPr="005B32D9">
          <w:rPr>
            <w:rStyle w:val="Hyperlink"/>
            <w:rFonts w:ascii="ShangralaW90-Regular" w:eastAsia="Palatino Linotype" w:hAnsi="ShangralaW90-Regular"/>
            <w:sz w:val="22"/>
            <w:szCs w:val="22"/>
          </w:rPr>
          <w:t>https://data.worldbank.org/indicator/</w:t>
        </w:r>
      </w:hyperlink>
    </w:p>
    <w:p w14:paraId="7F69B173" w14:textId="77777777" w:rsidR="008B1942" w:rsidRPr="00A70ED5" w:rsidRDefault="003461B6" w:rsidP="00A70ED5">
      <w:pPr>
        <w:tabs>
          <w:tab w:val="left" w:pos="4111"/>
        </w:tabs>
        <w:spacing w:line="276" w:lineRule="auto"/>
        <w:ind w:left="540" w:hanging="540"/>
        <w:jc w:val="both"/>
        <w:rPr>
          <w:rFonts w:ascii="ShangralaW90-Regular" w:eastAsia="Palatino Linotype" w:hAnsi="ShangralaW90-Regular"/>
          <w:sz w:val="22"/>
          <w:szCs w:val="22"/>
        </w:rPr>
      </w:pPr>
      <w:r w:rsidRPr="00F93D5E">
        <w:rPr>
          <w:rFonts w:ascii="ShangralaW90-Regular" w:eastAsia="Palatino Linotype" w:hAnsi="ShangralaW90-Regular"/>
          <w:sz w:val="22"/>
          <w:szCs w:val="22"/>
        </w:rPr>
        <w:t>Xiaodong, X. (2019). The SIJORI Growth Triangle: Progress, Problems, and Prospect. Journal of Maritime Studies and National Integration, 3(1), 1–13. https://doi.org/10.14710/jmsni.v3i1.4473</w:t>
      </w:r>
    </w:p>
    <w:sectPr w:rsidR="008B1942" w:rsidRPr="00A70ED5" w:rsidSect="006079D5">
      <w:type w:val="continuous"/>
      <w:pgSz w:w="11900" w:h="16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F52B5" w14:textId="77777777" w:rsidR="004C01F0" w:rsidRDefault="004C01F0">
      <w:r>
        <w:separator/>
      </w:r>
    </w:p>
  </w:endnote>
  <w:endnote w:type="continuationSeparator" w:id="0">
    <w:p w14:paraId="026319DA" w14:textId="77777777" w:rsidR="004C01F0" w:rsidRDefault="004C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Helvetica Neue">
    <w:charset w:val="00"/>
    <w:family w:val="auto"/>
    <w:pitch w:val="variable"/>
    <w:sig w:usb0="E50002FF" w:usb1="500079DB" w:usb2="00000010" w:usb3="00000000" w:csb0="00000001" w:csb1="00000000"/>
  </w:font>
  <w:font w:name="BMitra">
    <w:altName w:val="Times New Roman"/>
    <w:panose1 w:val="00000000000000000000"/>
    <w:charset w:val="00"/>
    <w:family w:val="roman"/>
    <w:notTrueType/>
    <w:pitch w:val="default"/>
  </w:font>
  <w:font w:name="Lato">
    <w:altName w:val="Segoe UI"/>
    <w:charset w:val="4D"/>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hangralaW90-Regular">
    <w:altName w:val="Calibri"/>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1750502"/>
      <w:docPartObj>
        <w:docPartGallery w:val="Page Numbers (Bottom of Page)"/>
        <w:docPartUnique/>
      </w:docPartObj>
    </w:sdtPr>
    <w:sdtContent>
      <w:p w14:paraId="17B73B67" w14:textId="77777777" w:rsidR="004C01F0" w:rsidRDefault="004C01F0" w:rsidP="00091A1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sdtContent>
  </w:sdt>
  <w:p w14:paraId="6B6EA96B" w14:textId="77777777" w:rsidR="004C01F0" w:rsidRDefault="004C01F0" w:rsidP="00091A1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42A2" w14:textId="77777777" w:rsidR="004C01F0" w:rsidRDefault="004C01F0" w:rsidP="00E022F9">
    <w:pPr>
      <w:rPr>
        <w:rFonts w:ascii="Open Sans" w:hAnsi="Open Sans" w:cs="Open Sans"/>
        <w:b/>
        <w:color w:val="1F4E79" w:themeColor="accent5" w:themeShade="80"/>
        <w:sz w:val="14"/>
        <w:szCs w:val="16"/>
      </w:rPr>
    </w:pPr>
  </w:p>
  <w:p w14:paraId="3F96081C" w14:textId="77777777" w:rsidR="004C01F0" w:rsidRPr="00A41980" w:rsidRDefault="004C01F0" w:rsidP="00E022F9">
    <w:pPr>
      <w:rPr>
        <w:rFonts w:ascii="Open Sans" w:hAnsi="Open Sans" w:cs="Open Sans"/>
        <w:color w:val="1F4E79" w:themeColor="accent5" w:themeShade="80"/>
        <w:sz w:val="13"/>
        <w:szCs w:val="13"/>
      </w:rPr>
    </w:pPr>
  </w:p>
  <w:p w14:paraId="79C1EA0B" w14:textId="77777777" w:rsidR="004C01F0" w:rsidRPr="00A41980" w:rsidRDefault="004C01F0" w:rsidP="00E022F9">
    <w:pPr>
      <w:rPr>
        <w:rFonts w:ascii="Open Sans" w:hAnsi="Open Sans" w:cs="Open Sans"/>
        <w:color w:val="1F4E79" w:themeColor="accent5" w:themeShade="80"/>
        <w:sz w:val="13"/>
        <w:szCs w:val="13"/>
      </w:rPr>
    </w:pPr>
    <w:r w:rsidRPr="00A41980">
      <w:rPr>
        <w:rFonts w:ascii="Open Sans" w:hAnsi="Open Sans" w:cs="Open Sans"/>
        <w:color w:val="1F4E79" w:themeColor="accent5" w:themeShade="80"/>
        <w:sz w:val="13"/>
        <w:szCs w:val="13"/>
      </w:rPr>
      <w:t>Copyright © 20</w:t>
    </w:r>
    <w:r>
      <w:rPr>
        <w:rFonts w:ascii="Open Sans" w:hAnsi="Open Sans" w:cs="Open Sans"/>
        <w:color w:val="1F4E79" w:themeColor="accent5" w:themeShade="80"/>
        <w:sz w:val="13"/>
        <w:szCs w:val="13"/>
      </w:rPr>
      <w:t>22</w:t>
    </w:r>
    <w:r w:rsidRPr="00A41980">
      <w:rPr>
        <w:rFonts w:ascii="Open Sans" w:hAnsi="Open Sans" w:cs="Open Sans"/>
        <w:color w:val="1F4E79" w:themeColor="accent5" w:themeShade="80"/>
        <w:sz w:val="13"/>
        <w:szCs w:val="13"/>
      </w:rPr>
      <w:t xml:space="preserve">, The Author(s). </w:t>
    </w:r>
  </w:p>
  <w:p w14:paraId="1F3C99F7" w14:textId="77777777" w:rsidR="004C01F0" w:rsidRPr="00A41980" w:rsidRDefault="004C01F0" w:rsidP="00E022F9">
    <w:pPr>
      <w:rPr>
        <w:rFonts w:ascii="Open Sans" w:hAnsi="Open Sans" w:cs="Open Sans"/>
        <w:color w:val="1F4E79" w:themeColor="accent5" w:themeShade="80"/>
        <w:sz w:val="13"/>
        <w:szCs w:val="13"/>
      </w:rPr>
    </w:pPr>
    <w:r w:rsidRPr="00A41980">
      <w:rPr>
        <w:rFonts w:ascii="Open Sans" w:hAnsi="Open Sans" w:cs="Open Sans"/>
        <w:color w:val="1F4E79" w:themeColor="accent5" w:themeShade="80"/>
        <w:sz w:val="13"/>
        <w:szCs w:val="13"/>
      </w:rPr>
      <w:t>This article is distributed under a Creative Commons Attribution-ShareAlike 4.0 International license.</w:t>
    </w:r>
  </w:p>
  <w:p w14:paraId="72EB56D8" w14:textId="77777777" w:rsidR="004C01F0" w:rsidRPr="00A10FBC" w:rsidRDefault="004C01F0" w:rsidP="00E022F9">
    <w:pPr>
      <w:pStyle w:val="Footer"/>
      <w:rPr>
        <w:color w:val="0070C0"/>
        <w:sz w:val="16"/>
        <w:szCs w:val="16"/>
      </w:rPr>
    </w:pPr>
  </w:p>
  <w:p w14:paraId="496F8C90" w14:textId="77777777" w:rsidR="004C01F0" w:rsidRPr="00A10FBC" w:rsidRDefault="004C01F0">
    <w:pPr>
      <w:pStyle w:val="Footer"/>
      <w:rPr>
        <w:color w:val="007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D7BC" w14:textId="77777777" w:rsidR="004C01F0" w:rsidRDefault="004C01F0" w:rsidP="00F755AC">
      <w:r>
        <w:separator/>
      </w:r>
    </w:p>
  </w:footnote>
  <w:footnote w:type="continuationSeparator" w:id="0">
    <w:p w14:paraId="7BDB15D4" w14:textId="77777777" w:rsidR="004C01F0" w:rsidRDefault="004C01F0" w:rsidP="00F755AC">
      <w:r>
        <w:continuationSeparator/>
      </w:r>
    </w:p>
  </w:footnote>
  <w:footnote w:id="1">
    <w:p w14:paraId="76E78AC8" w14:textId="77777777" w:rsidR="004C01F0" w:rsidRDefault="004C01F0">
      <w:pPr>
        <w:pStyle w:val="FootnoteText"/>
        <w:rPr>
          <w:rFonts w:ascii="Lato" w:hAnsi="Lato"/>
          <w:sz w:val="16"/>
          <w:szCs w:val="16"/>
        </w:rPr>
      </w:pPr>
      <w:r>
        <w:rPr>
          <w:rStyle w:val="FootnoteReference"/>
        </w:rPr>
        <w:t>*</w:t>
      </w:r>
      <w:r>
        <w:t xml:space="preserve"> </w:t>
      </w:r>
      <w:r>
        <w:rPr>
          <w:rFonts w:ascii="Lato" w:hAnsi="Lato"/>
          <w:b/>
          <w:sz w:val="16"/>
          <w:szCs w:val="16"/>
        </w:rPr>
        <w:t xml:space="preserve">Corresponding email: </w:t>
      </w:r>
      <w:r w:rsidRPr="00AE59FE">
        <w:rPr>
          <w:rFonts w:ascii="Lato" w:hAnsi="Lato"/>
          <w:sz w:val="16"/>
          <w:szCs w:val="16"/>
        </w:rPr>
        <w:t>laodenaz@gmail.com</w:t>
      </w:r>
      <w:r>
        <w:rPr>
          <w:rFonts w:ascii="Lato" w:hAnsi="Lato"/>
          <w:sz w:val="16"/>
          <w:szCs w:val="16"/>
        </w:rPr>
        <w:t xml:space="preserve"> </w:t>
      </w:r>
      <w:r w:rsidRPr="001F195E">
        <w:rPr>
          <w:rFonts w:ascii="Lato" w:hAnsi="Lato"/>
          <w:sz w:val="16"/>
          <w:szCs w:val="16"/>
          <w:highlight w:val="green"/>
        </w:rPr>
        <w:t>&amp; laodenaz@kemenperin.go.id</w:t>
      </w:r>
      <w:r>
        <w:rPr>
          <w:rFonts w:ascii="Lato" w:hAnsi="Lato"/>
          <w:sz w:val="16"/>
          <w:szCs w:val="16"/>
        </w:rPr>
        <w:t>.</w:t>
      </w:r>
    </w:p>
    <w:p w14:paraId="2BC41F5B" w14:textId="77777777" w:rsidR="004C01F0" w:rsidRPr="00B534BD" w:rsidRDefault="004C01F0" w:rsidP="00B534BD">
      <w:pPr>
        <w:pStyle w:val="FootnoteText"/>
        <w:jc w:val="both"/>
        <w:rPr>
          <w:rFonts w:ascii="Lato" w:hAnsi="Lato"/>
          <w:sz w:val="16"/>
          <w:szCs w:val="16"/>
        </w:rPr>
      </w:pPr>
      <w:r w:rsidRPr="00655342">
        <w:rPr>
          <w:rFonts w:ascii="Lato" w:hAnsi="Lato"/>
          <w:sz w:val="16"/>
          <w:szCs w:val="16"/>
          <w:highlight w:val="green"/>
        </w:rPr>
        <w:t>The Article has also been accepted to the Conference on Transformation of Asia-Pacific Regions: Exploring New Directions in Economy, Environment, and Society, on April 30-May 2, 2022 at National Dong Hwa University, Hualien, Taiwan.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urce Sans Pro" w:hAnsi="Source Sans Pro"/>
        <w:i/>
        <w:color w:val="7F7F7F" w:themeColor="text1" w:themeTint="80"/>
      </w:rPr>
      <w:alias w:val="Title"/>
      <w:id w:val="1116400235"/>
      <w:placeholder>
        <w:docPart w:val="9E61CBAAE9F44AA4B5603F7A797DAD15"/>
      </w:placeholder>
      <w:dataBinding w:prefixMappings="xmlns:ns0='http://purl.org/dc/elements/1.1/' xmlns:ns1='http://schemas.openxmlformats.org/package/2006/metadata/core-properties' " w:xpath="/ns1:coreProperties[1]/ns0:title[1]" w:storeItemID="{6C3C8BC8-F283-45AE-878A-BAB7291924A1}"/>
      <w:text/>
    </w:sdtPr>
    <w:sdtContent>
      <w:p w14:paraId="6857BC54" w14:textId="77777777" w:rsidR="004C01F0" w:rsidRPr="00016B93" w:rsidRDefault="004C01F0">
        <w:pPr>
          <w:pStyle w:val="Header"/>
          <w:tabs>
            <w:tab w:val="clear" w:pos="4680"/>
            <w:tab w:val="clear" w:pos="9360"/>
          </w:tabs>
          <w:jc w:val="right"/>
          <w:rPr>
            <w:rFonts w:ascii="Source Sans Pro" w:hAnsi="Source Sans Pro"/>
            <w:i/>
            <w:color w:val="7F7F7F" w:themeColor="text1" w:themeTint="80"/>
          </w:rPr>
        </w:pPr>
        <w:r w:rsidRPr="00016B93">
          <w:rPr>
            <w:rFonts w:ascii="Source Sans Pro" w:hAnsi="Source Sans Pro"/>
            <w:i/>
            <w:color w:val="7F7F7F" w:themeColor="text1" w:themeTint="80"/>
          </w:rPr>
          <w:t>The Journal of Southeast Asian Studies</w:t>
        </w:r>
        <w:r>
          <w:rPr>
            <w:rFonts w:ascii="Source Sans Pro" w:hAnsi="Source Sans Pro"/>
            <w:i/>
            <w:color w:val="7F7F7F" w:themeColor="text1" w:themeTint="80"/>
          </w:rPr>
          <w:t>, 2020</w:t>
        </w:r>
      </w:p>
    </w:sdtContent>
  </w:sdt>
  <w:p w14:paraId="08E0D293" w14:textId="77777777" w:rsidR="004C01F0" w:rsidRPr="00016B93" w:rsidRDefault="004C01F0">
    <w:pPr>
      <w:pStyle w:val="Header"/>
      <w:rPr>
        <w:rFonts w:ascii="Source Sans Pro" w:hAnsi="Source Sans Pro"/>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D3F8" w14:textId="77777777" w:rsidR="004C01F0" w:rsidRPr="00622A0C" w:rsidRDefault="004C01F0">
    <w:pPr>
      <w:pStyle w:val="Header"/>
      <w:rPr>
        <w:rFonts w:ascii="Lato" w:hAnsi="Lato" w:cs="Open Sans"/>
        <w:i/>
        <w:color w:val="000000" w:themeColor="text1"/>
        <w:sz w:val="18"/>
        <w:szCs w:val="18"/>
      </w:rPr>
    </w:pPr>
    <w:r>
      <w:rPr>
        <w:rFonts w:ascii="Lato" w:eastAsiaTheme="majorEastAsia" w:hAnsi="Lato" w:cs="Open Sans"/>
        <w:i/>
        <w:color w:val="000000" w:themeColor="text1"/>
        <w:sz w:val="18"/>
        <w:szCs w:val="18"/>
      </w:rPr>
      <w:t>L. O. Nazaruddin and Q. Aulia</w:t>
    </w:r>
    <w:r w:rsidRPr="00622A0C">
      <w:rPr>
        <w:rFonts w:ascii="Lato" w:eastAsiaTheme="majorEastAsia" w:hAnsi="Lato" w:cs="Open Sans"/>
        <w:i/>
        <w:color w:val="000000" w:themeColor="text1"/>
        <w:sz w:val="18"/>
        <w:szCs w:val="18"/>
      </w:rPr>
      <w:t xml:space="preserve"> </w:t>
    </w:r>
    <w:r w:rsidRPr="00622A0C">
      <w:rPr>
        <w:rFonts w:ascii="Lato" w:eastAsiaTheme="majorEastAsia" w:hAnsi="Lato" w:cs="Open Sans"/>
        <w:i/>
        <w:color w:val="000000" w:themeColor="text1"/>
        <w:sz w:val="18"/>
        <w:szCs w:val="18"/>
      </w:rPr>
      <w:tab/>
    </w:r>
    <w:r w:rsidRPr="00622A0C">
      <w:rPr>
        <w:rFonts w:ascii="Lato" w:eastAsiaTheme="majorEastAsia" w:hAnsi="Lato" w:cs="Open Sans"/>
        <w:i/>
        <w:color w:val="000000" w:themeColor="text1"/>
        <w:sz w:val="18"/>
        <w:szCs w:val="18"/>
      </w:rPr>
      <w:tab/>
    </w:r>
    <w:sdt>
      <w:sdtPr>
        <w:rPr>
          <w:rFonts w:ascii="Lato" w:eastAsiaTheme="majorEastAsia" w:hAnsi="Lato" w:cs="Open Sans"/>
          <w:i/>
          <w:color w:val="000000" w:themeColor="text1"/>
          <w:sz w:val="18"/>
          <w:szCs w:val="18"/>
        </w:rPr>
        <w:alias w:val="Date"/>
        <w:id w:val="78404859"/>
        <w:placeholder>
          <w:docPart w:val="5280E01843134AB4B2DAD5A61D24D61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622A0C">
          <w:rPr>
            <w:rFonts w:ascii="Lato" w:eastAsiaTheme="majorEastAsia" w:hAnsi="Lato" w:cs="Open Sans"/>
            <w:i/>
            <w:color w:val="000000" w:themeColor="text1"/>
            <w:sz w:val="18"/>
            <w:szCs w:val="18"/>
          </w:rPr>
          <w:t xml:space="preserve">IKAT, </w:t>
        </w:r>
        <w:r>
          <w:rPr>
            <w:rFonts w:ascii="Lato" w:eastAsiaTheme="majorEastAsia" w:hAnsi="Lato" w:cs="Open Sans"/>
            <w:i/>
            <w:color w:val="000000" w:themeColor="text1"/>
            <w:sz w:val="18"/>
            <w:szCs w:val="18"/>
          </w:rPr>
          <w:t>5</w:t>
        </w:r>
        <w:r w:rsidRPr="00622A0C">
          <w:rPr>
            <w:rFonts w:ascii="Lato" w:eastAsiaTheme="majorEastAsia" w:hAnsi="Lato" w:cs="Open Sans"/>
            <w:i/>
            <w:color w:val="000000" w:themeColor="text1"/>
            <w:sz w:val="18"/>
            <w:szCs w:val="18"/>
          </w:rPr>
          <w:t xml:space="preserve"> (</w:t>
        </w:r>
        <w:r>
          <w:rPr>
            <w:rFonts w:ascii="Lato" w:eastAsiaTheme="majorEastAsia" w:hAnsi="Lato" w:cs="Open Sans"/>
            <w:i/>
            <w:color w:val="000000" w:themeColor="text1"/>
            <w:sz w:val="18"/>
            <w:szCs w:val="18"/>
          </w:rPr>
          <w:t>2</w:t>
        </w:r>
        <w:r w:rsidRPr="00622A0C">
          <w:rPr>
            <w:rFonts w:ascii="Lato" w:eastAsiaTheme="majorEastAsia" w:hAnsi="Lato" w:cs="Open Sans"/>
            <w:i/>
            <w:color w:val="000000" w:themeColor="text1"/>
            <w:sz w:val="18"/>
            <w:szCs w:val="18"/>
          </w:rPr>
          <w:t>), 202</w:t>
        </w:r>
        <w:r>
          <w:rPr>
            <w:rFonts w:ascii="Lato" w:eastAsiaTheme="majorEastAsia" w:hAnsi="Lato" w:cs="Open Sans"/>
            <w:i/>
            <w:color w:val="000000" w:themeColor="text1"/>
            <w:sz w:val="18"/>
            <w:szCs w:val="18"/>
          </w:rPr>
          <w:t>2</w:t>
        </w:r>
      </w:sdtContent>
    </w:sdt>
  </w:p>
  <w:p w14:paraId="7378B08D" w14:textId="77777777" w:rsidR="004C01F0" w:rsidRPr="00622A0C" w:rsidRDefault="004C01F0" w:rsidP="0092500F">
    <w:pPr>
      <w:pStyle w:val="Header"/>
      <w:jc w:val="right"/>
      <w:rPr>
        <w:rFonts w:ascii="Lato" w:hAnsi="Lato" w:cs="Open Sans"/>
        <w:i/>
        <w:color w:val="000000" w:themeColor="text1"/>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MON_1640499336"/>
  <w:bookmarkEnd w:id="0"/>
  <w:p w14:paraId="66940C57" w14:textId="77777777" w:rsidR="004C01F0" w:rsidRDefault="004C01F0" w:rsidP="00CE004A">
    <w:pPr>
      <w:pStyle w:val="Header"/>
      <w:tabs>
        <w:tab w:val="clear" w:pos="9360"/>
        <w:tab w:val="right" w:pos="9356"/>
      </w:tabs>
      <w:rPr>
        <w:noProof/>
      </w:rPr>
    </w:pPr>
    <w:r>
      <w:rPr>
        <w:noProof/>
      </w:rPr>
      <w:object w:dxaOrig="9258" w:dyaOrig="1324" w14:anchorId="646E4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67pt;mso-width-percent:0;mso-height-percent:0;mso-width-percent:0;mso-height-percent:0">
          <v:imagedata r:id="rId1" o:title=""/>
        </v:shape>
        <o:OLEObject Type="Embed" ProgID="Word.Document.12" ShapeID="_x0000_i1025" DrawAspect="Content" ObjectID="_1710152585" r:id="rId2"/>
      </w:object>
    </w:r>
  </w:p>
  <w:p w14:paraId="58AA5CBE" w14:textId="77777777" w:rsidR="004C01F0" w:rsidRPr="00A10FBC" w:rsidRDefault="004C01F0">
    <w:pPr>
      <w:pStyle w:val="Head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3C2"/>
    <w:multiLevelType w:val="hybridMultilevel"/>
    <w:tmpl w:val="A176CECC"/>
    <w:lvl w:ilvl="0" w:tplc="A1F82FE2">
      <w:start w:val="1"/>
      <w:numFmt w:val="decimal"/>
      <w:lvlText w:val="%1."/>
      <w:lvlJc w:val="left"/>
      <w:pPr>
        <w:ind w:left="927" w:hanging="360"/>
      </w:pPr>
      <w:rPr>
        <w:rFonts w:hint="default"/>
      </w:rPr>
    </w:lvl>
    <w:lvl w:ilvl="1" w:tplc="62F83094" w:tentative="1">
      <w:start w:val="1"/>
      <w:numFmt w:val="lowerLetter"/>
      <w:lvlText w:val="%2."/>
      <w:lvlJc w:val="left"/>
      <w:pPr>
        <w:ind w:left="1647" w:hanging="360"/>
      </w:pPr>
    </w:lvl>
    <w:lvl w:ilvl="2" w:tplc="2286BCF2" w:tentative="1">
      <w:start w:val="1"/>
      <w:numFmt w:val="lowerRoman"/>
      <w:lvlText w:val="%3."/>
      <w:lvlJc w:val="right"/>
      <w:pPr>
        <w:ind w:left="2367" w:hanging="180"/>
      </w:pPr>
    </w:lvl>
    <w:lvl w:ilvl="3" w:tplc="129C34D2" w:tentative="1">
      <w:start w:val="1"/>
      <w:numFmt w:val="decimal"/>
      <w:lvlText w:val="%4."/>
      <w:lvlJc w:val="left"/>
      <w:pPr>
        <w:ind w:left="3087" w:hanging="360"/>
      </w:pPr>
    </w:lvl>
    <w:lvl w:ilvl="4" w:tplc="B9080E5E" w:tentative="1">
      <w:start w:val="1"/>
      <w:numFmt w:val="lowerLetter"/>
      <w:lvlText w:val="%5."/>
      <w:lvlJc w:val="left"/>
      <w:pPr>
        <w:ind w:left="3807" w:hanging="360"/>
      </w:pPr>
    </w:lvl>
    <w:lvl w:ilvl="5" w:tplc="670A4FF2" w:tentative="1">
      <w:start w:val="1"/>
      <w:numFmt w:val="lowerRoman"/>
      <w:lvlText w:val="%6."/>
      <w:lvlJc w:val="right"/>
      <w:pPr>
        <w:ind w:left="4527" w:hanging="180"/>
      </w:pPr>
    </w:lvl>
    <w:lvl w:ilvl="6" w:tplc="7AEE6F94" w:tentative="1">
      <w:start w:val="1"/>
      <w:numFmt w:val="decimal"/>
      <w:lvlText w:val="%7."/>
      <w:lvlJc w:val="left"/>
      <w:pPr>
        <w:ind w:left="5247" w:hanging="360"/>
      </w:pPr>
    </w:lvl>
    <w:lvl w:ilvl="7" w:tplc="0E3EBCE4" w:tentative="1">
      <w:start w:val="1"/>
      <w:numFmt w:val="lowerLetter"/>
      <w:lvlText w:val="%8."/>
      <w:lvlJc w:val="left"/>
      <w:pPr>
        <w:ind w:left="5967" w:hanging="360"/>
      </w:pPr>
    </w:lvl>
    <w:lvl w:ilvl="8" w:tplc="0A8E2F8A" w:tentative="1">
      <w:start w:val="1"/>
      <w:numFmt w:val="lowerRoman"/>
      <w:lvlText w:val="%9."/>
      <w:lvlJc w:val="right"/>
      <w:pPr>
        <w:ind w:left="6687" w:hanging="180"/>
      </w:pPr>
    </w:lvl>
  </w:abstractNum>
  <w:abstractNum w:abstractNumId="1" w15:restartNumberingAfterBreak="0">
    <w:nsid w:val="06202B91"/>
    <w:multiLevelType w:val="hybridMultilevel"/>
    <w:tmpl w:val="C9CE8A56"/>
    <w:lvl w:ilvl="0" w:tplc="94DE8CAC">
      <w:start w:val="1"/>
      <w:numFmt w:val="decimal"/>
      <w:lvlText w:val="%1."/>
      <w:lvlJc w:val="left"/>
      <w:pPr>
        <w:ind w:left="927" w:hanging="360"/>
      </w:pPr>
      <w:rPr>
        <w:rFonts w:hint="default"/>
      </w:rPr>
    </w:lvl>
    <w:lvl w:ilvl="1" w:tplc="15D63810">
      <w:start w:val="1"/>
      <w:numFmt w:val="lowerLetter"/>
      <w:lvlText w:val="%2)"/>
      <w:lvlJc w:val="left"/>
      <w:pPr>
        <w:ind w:left="1647" w:hanging="360"/>
      </w:pPr>
      <w:rPr>
        <w:rFonts w:hint="default"/>
      </w:rPr>
    </w:lvl>
    <w:lvl w:ilvl="2" w:tplc="42BC9F4E">
      <w:start w:val="1"/>
      <w:numFmt w:val="decimal"/>
      <w:lvlText w:val="%3)"/>
      <w:lvlJc w:val="left"/>
      <w:pPr>
        <w:ind w:left="900" w:hanging="360"/>
      </w:pPr>
      <w:rPr>
        <w:rFonts w:hint="default"/>
      </w:rPr>
    </w:lvl>
    <w:lvl w:ilvl="3" w:tplc="0C7AF432" w:tentative="1">
      <w:start w:val="1"/>
      <w:numFmt w:val="decimal"/>
      <w:lvlText w:val="%4."/>
      <w:lvlJc w:val="left"/>
      <w:pPr>
        <w:ind w:left="3087" w:hanging="360"/>
      </w:pPr>
    </w:lvl>
    <w:lvl w:ilvl="4" w:tplc="ABEAA34A" w:tentative="1">
      <w:start w:val="1"/>
      <w:numFmt w:val="lowerLetter"/>
      <w:lvlText w:val="%5."/>
      <w:lvlJc w:val="left"/>
      <w:pPr>
        <w:ind w:left="3807" w:hanging="360"/>
      </w:pPr>
    </w:lvl>
    <w:lvl w:ilvl="5" w:tplc="E4423540" w:tentative="1">
      <w:start w:val="1"/>
      <w:numFmt w:val="lowerRoman"/>
      <w:lvlText w:val="%6."/>
      <w:lvlJc w:val="right"/>
      <w:pPr>
        <w:ind w:left="4527" w:hanging="180"/>
      </w:pPr>
    </w:lvl>
    <w:lvl w:ilvl="6" w:tplc="56F68448" w:tentative="1">
      <w:start w:val="1"/>
      <w:numFmt w:val="decimal"/>
      <w:lvlText w:val="%7."/>
      <w:lvlJc w:val="left"/>
      <w:pPr>
        <w:ind w:left="5247" w:hanging="360"/>
      </w:pPr>
    </w:lvl>
    <w:lvl w:ilvl="7" w:tplc="464AE2CA" w:tentative="1">
      <w:start w:val="1"/>
      <w:numFmt w:val="lowerLetter"/>
      <w:lvlText w:val="%8."/>
      <w:lvlJc w:val="left"/>
      <w:pPr>
        <w:ind w:left="5967" w:hanging="360"/>
      </w:pPr>
    </w:lvl>
    <w:lvl w:ilvl="8" w:tplc="09D460AE" w:tentative="1">
      <w:start w:val="1"/>
      <w:numFmt w:val="lowerRoman"/>
      <w:lvlText w:val="%9."/>
      <w:lvlJc w:val="right"/>
      <w:pPr>
        <w:ind w:left="6687" w:hanging="180"/>
      </w:pPr>
    </w:lvl>
  </w:abstractNum>
  <w:abstractNum w:abstractNumId="2" w15:restartNumberingAfterBreak="0">
    <w:nsid w:val="099A13DF"/>
    <w:multiLevelType w:val="multilevel"/>
    <w:tmpl w:val="099A13DF"/>
    <w:lvl w:ilvl="0">
      <w:start w:val="1"/>
      <w:numFmt w:val="lowerLetter"/>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F04067"/>
    <w:multiLevelType w:val="hybridMultilevel"/>
    <w:tmpl w:val="DC9A9E74"/>
    <w:lvl w:ilvl="0" w:tplc="696E13C6">
      <w:start w:val="1"/>
      <w:numFmt w:val="decimal"/>
      <w:lvlText w:val="%1."/>
      <w:lvlJc w:val="left"/>
      <w:pPr>
        <w:ind w:left="900" w:hanging="360"/>
      </w:pPr>
    </w:lvl>
    <w:lvl w:ilvl="1" w:tplc="144AB44A" w:tentative="1">
      <w:start w:val="1"/>
      <w:numFmt w:val="lowerLetter"/>
      <w:lvlText w:val="%2."/>
      <w:lvlJc w:val="left"/>
      <w:pPr>
        <w:ind w:left="1620" w:hanging="360"/>
      </w:pPr>
    </w:lvl>
    <w:lvl w:ilvl="2" w:tplc="0B9006F8" w:tentative="1">
      <w:start w:val="1"/>
      <w:numFmt w:val="lowerRoman"/>
      <w:lvlText w:val="%3."/>
      <w:lvlJc w:val="right"/>
      <w:pPr>
        <w:ind w:left="2340" w:hanging="180"/>
      </w:pPr>
    </w:lvl>
    <w:lvl w:ilvl="3" w:tplc="C116F38C" w:tentative="1">
      <w:start w:val="1"/>
      <w:numFmt w:val="decimal"/>
      <w:lvlText w:val="%4."/>
      <w:lvlJc w:val="left"/>
      <w:pPr>
        <w:ind w:left="3060" w:hanging="360"/>
      </w:pPr>
    </w:lvl>
    <w:lvl w:ilvl="4" w:tplc="C12EA788" w:tentative="1">
      <w:start w:val="1"/>
      <w:numFmt w:val="lowerLetter"/>
      <w:lvlText w:val="%5."/>
      <w:lvlJc w:val="left"/>
      <w:pPr>
        <w:ind w:left="3780" w:hanging="360"/>
      </w:pPr>
    </w:lvl>
    <w:lvl w:ilvl="5" w:tplc="9E580A82" w:tentative="1">
      <w:start w:val="1"/>
      <w:numFmt w:val="lowerRoman"/>
      <w:lvlText w:val="%6."/>
      <w:lvlJc w:val="right"/>
      <w:pPr>
        <w:ind w:left="4500" w:hanging="180"/>
      </w:pPr>
    </w:lvl>
    <w:lvl w:ilvl="6" w:tplc="8D80E29C" w:tentative="1">
      <w:start w:val="1"/>
      <w:numFmt w:val="decimal"/>
      <w:lvlText w:val="%7."/>
      <w:lvlJc w:val="left"/>
      <w:pPr>
        <w:ind w:left="5220" w:hanging="360"/>
      </w:pPr>
    </w:lvl>
    <w:lvl w:ilvl="7" w:tplc="31388E52" w:tentative="1">
      <w:start w:val="1"/>
      <w:numFmt w:val="lowerLetter"/>
      <w:lvlText w:val="%8."/>
      <w:lvlJc w:val="left"/>
      <w:pPr>
        <w:ind w:left="5940" w:hanging="360"/>
      </w:pPr>
    </w:lvl>
    <w:lvl w:ilvl="8" w:tplc="5156BDCC" w:tentative="1">
      <w:start w:val="1"/>
      <w:numFmt w:val="lowerRoman"/>
      <w:lvlText w:val="%9."/>
      <w:lvlJc w:val="right"/>
      <w:pPr>
        <w:ind w:left="6660" w:hanging="180"/>
      </w:pPr>
    </w:lvl>
  </w:abstractNum>
  <w:abstractNum w:abstractNumId="4" w15:restartNumberingAfterBreak="0">
    <w:nsid w:val="19B020CD"/>
    <w:multiLevelType w:val="hybridMultilevel"/>
    <w:tmpl w:val="2B9ED016"/>
    <w:lvl w:ilvl="0" w:tplc="5AACDB08">
      <w:start w:val="1"/>
      <w:numFmt w:val="decimal"/>
      <w:lvlText w:val="%1."/>
      <w:lvlJc w:val="left"/>
      <w:pPr>
        <w:ind w:left="927" w:hanging="360"/>
      </w:pPr>
    </w:lvl>
    <w:lvl w:ilvl="1" w:tplc="64E65FB4">
      <w:start w:val="1"/>
      <w:numFmt w:val="lowerLetter"/>
      <w:lvlText w:val="%2."/>
      <w:lvlJc w:val="left"/>
      <w:pPr>
        <w:ind w:left="1647" w:hanging="360"/>
      </w:pPr>
    </w:lvl>
    <w:lvl w:ilvl="2" w:tplc="D4F8C85A">
      <w:start w:val="1"/>
      <w:numFmt w:val="decimal"/>
      <w:lvlText w:val="%3."/>
      <w:lvlJc w:val="left"/>
      <w:pPr>
        <w:ind w:left="2367" w:hanging="180"/>
      </w:pPr>
    </w:lvl>
    <w:lvl w:ilvl="3" w:tplc="B45A6A48" w:tentative="1">
      <w:start w:val="1"/>
      <w:numFmt w:val="decimal"/>
      <w:lvlText w:val="%4."/>
      <w:lvlJc w:val="left"/>
      <w:pPr>
        <w:ind w:left="3087" w:hanging="360"/>
      </w:pPr>
    </w:lvl>
    <w:lvl w:ilvl="4" w:tplc="D0EC8BF4" w:tentative="1">
      <w:start w:val="1"/>
      <w:numFmt w:val="lowerLetter"/>
      <w:lvlText w:val="%5."/>
      <w:lvlJc w:val="left"/>
      <w:pPr>
        <w:ind w:left="3807" w:hanging="360"/>
      </w:pPr>
    </w:lvl>
    <w:lvl w:ilvl="5" w:tplc="AD368270" w:tentative="1">
      <w:start w:val="1"/>
      <w:numFmt w:val="lowerRoman"/>
      <w:lvlText w:val="%6."/>
      <w:lvlJc w:val="right"/>
      <w:pPr>
        <w:ind w:left="4527" w:hanging="180"/>
      </w:pPr>
    </w:lvl>
    <w:lvl w:ilvl="6" w:tplc="9FC846FC" w:tentative="1">
      <w:start w:val="1"/>
      <w:numFmt w:val="decimal"/>
      <w:lvlText w:val="%7."/>
      <w:lvlJc w:val="left"/>
      <w:pPr>
        <w:ind w:left="5247" w:hanging="360"/>
      </w:pPr>
    </w:lvl>
    <w:lvl w:ilvl="7" w:tplc="8FE0E694" w:tentative="1">
      <w:start w:val="1"/>
      <w:numFmt w:val="lowerLetter"/>
      <w:lvlText w:val="%8."/>
      <w:lvlJc w:val="left"/>
      <w:pPr>
        <w:ind w:left="5967" w:hanging="360"/>
      </w:pPr>
    </w:lvl>
    <w:lvl w:ilvl="8" w:tplc="7F788928" w:tentative="1">
      <w:start w:val="1"/>
      <w:numFmt w:val="lowerRoman"/>
      <w:lvlText w:val="%9."/>
      <w:lvlJc w:val="right"/>
      <w:pPr>
        <w:ind w:left="6687" w:hanging="180"/>
      </w:pPr>
    </w:lvl>
  </w:abstractNum>
  <w:abstractNum w:abstractNumId="5" w15:restartNumberingAfterBreak="0">
    <w:nsid w:val="20E415BD"/>
    <w:multiLevelType w:val="multilevel"/>
    <w:tmpl w:val="20E415BD"/>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1A0B95"/>
    <w:multiLevelType w:val="multilevel"/>
    <w:tmpl w:val="2C1A0B95"/>
    <w:lvl w:ilvl="0">
      <w:start w:val="2"/>
      <w:numFmt w:val="decimal"/>
      <w:lvlText w:val="%1."/>
      <w:lvlJc w:val="left"/>
      <w:pPr>
        <w:ind w:left="36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106DB"/>
    <w:multiLevelType w:val="multilevel"/>
    <w:tmpl w:val="2D2106DB"/>
    <w:lvl w:ilvl="0">
      <w:start w:val="3"/>
      <w:numFmt w:val="decimal"/>
      <w:lvlText w:val="%1."/>
      <w:lvlJc w:val="left"/>
      <w:pPr>
        <w:ind w:left="36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524DB9"/>
    <w:multiLevelType w:val="hybridMultilevel"/>
    <w:tmpl w:val="DC46F180"/>
    <w:lvl w:ilvl="0" w:tplc="CBF27CA6">
      <w:start w:val="1"/>
      <w:numFmt w:val="lowerLetter"/>
      <w:lvlText w:val="%1)"/>
      <w:lvlJc w:val="left"/>
      <w:pPr>
        <w:ind w:left="927" w:hanging="360"/>
      </w:pPr>
    </w:lvl>
    <w:lvl w:ilvl="1" w:tplc="68C4B0D0">
      <w:start w:val="1"/>
      <w:numFmt w:val="lowerLetter"/>
      <w:lvlText w:val="%2."/>
      <w:lvlJc w:val="left"/>
      <w:pPr>
        <w:ind w:left="1647" w:hanging="360"/>
      </w:pPr>
    </w:lvl>
    <w:lvl w:ilvl="2" w:tplc="A1DC1608" w:tentative="1">
      <w:start w:val="1"/>
      <w:numFmt w:val="lowerRoman"/>
      <w:lvlText w:val="%3."/>
      <w:lvlJc w:val="right"/>
      <w:pPr>
        <w:ind w:left="2367" w:hanging="180"/>
      </w:pPr>
    </w:lvl>
    <w:lvl w:ilvl="3" w:tplc="7952ADE4" w:tentative="1">
      <w:start w:val="1"/>
      <w:numFmt w:val="decimal"/>
      <w:lvlText w:val="%4."/>
      <w:lvlJc w:val="left"/>
      <w:pPr>
        <w:ind w:left="3087" w:hanging="360"/>
      </w:pPr>
    </w:lvl>
    <w:lvl w:ilvl="4" w:tplc="715C465E" w:tentative="1">
      <w:start w:val="1"/>
      <w:numFmt w:val="lowerLetter"/>
      <w:lvlText w:val="%5."/>
      <w:lvlJc w:val="left"/>
      <w:pPr>
        <w:ind w:left="3807" w:hanging="360"/>
      </w:pPr>
    </w:lvl>
    <w:lvl w:ilvl="5" w:tplc="1A22CEC2" w:tentative="1">
      <w:start w:val="1"/>
      <w:numFmt w:val="lowerRoman"/>
      <w:lvlText w:val="%6."/>
      <w:lvlJc w:val="right"/>
      <w:pPr>
        <w:ind w:left="4527" w:hanging="180"/>
      </w:pPr>
    </w:lvl>
    <w:lvl w:ilvl="6" w:tplc="A6C8C994" w:tentative="1">
      <w:start w:val="1"/>
      <w:numFmt w:val="decimal"/>
      <w:lvlText w:val="%7."/>
      <w:lvlJc w:val="left"/>
      <w:pPr>
        <w:ind w:left="5247" w:hanging="360"/>
      </w:pPr>
    </w:lvl>
    <w:lvl w:ilvl="7" w:tplc="C952E354" w:tentative="1">
      <w:start w:val="1"/>
      <w:numFmt w:val="lowerLetter"/>
      <w:lvlText w:val="%8."/>
      <w:lvlJc w:val="left"/>
      <w:pPr>
        <w:ind w:left="5967" w:hanging="360"/>
      </w:pPr>
    </w:lvl>
    <w:lvl w:ilvl="8" w:tplc="B4C804BC" w:tentative="1">
      <w:start w:val="1"/>
      <w:numFmt w:val="lowerRoman"/>
      <w:lvlText w:val="%9."/>
      <w:lvlJc w:val="right"/>
      <w:pPr>
        <w:ind w:left="6687" w:hanging="180"/>
      </w:pPr>
    </w:lvl>
  </w:abstractNum>
  <w:abstractNum w:abstractNumId="9" w15:restartNumberingAfterBreak="0">
    <w:nsid w:val="2F551BE8"/>
    <w:multiLevelType w:val="multilevel"/>
    <w:tmpl w:val="2F551BE8"/>
    <w:lvl w:ilvl="0">
      <w:start w:val="4"/>
      <w:numFmt w:val="decimal"/>
      <w:lvlText w:val="%1."/>
      <w:lvlJc w:val="left"/>
      <w:pPr>
        <w:ind w:left="36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BA7778"/>
    <w:multiLevelType w:val="hybridMultilevel"/>
    <w:tmpl w:val="3288E9DE"/>
    <w:lvl w:ilvl="0" w:tplc="9036EC18">
      <w:start w:val="1"/>
      <w:numFmt w:val="decimal"/>
      <w:lvlText w:val="%1."/>
      <w:lvlJc w:val="left"/>
      <w:pPr>
        <w:ind w:left="927" w:hanging="360"/>
      </w:pPr>
      <w:rPr>
        <w:rFonts w:hint="default"/>
      </w:rPr>
    </w:lvl>
    <w:lvl w:ilvl="1" w:tplc="EF7047E2" w:tentative="1">
      <w:start w:val="1"/>
      <w:numFmt w:val="lowerLetter"/>
      <w:lvlText w:val="%2."/>
      <w:lvlJc w:val="left"/>
      <w:pPr>
        <w:ind w:left="1647" w:hanging="360"/>
      </w:pPr>
    </w:lvl>
    <w:lvl w:ilvl="2" w:tplc="FB08254E" w:tentative="1">
      <w:start w:val="1"/>
      <w:numFmt w:val="lowerRoman"/>
      <w:lvlText w:val="%3."/>
      <w:lvlJc w:val="right"/>
      <w:pPr>
        <w:ind w:left="2367" w:hanging="180"/>
      </w:pPr>
    </w:lvl>
    <w:lvl w:ilvl="3" w:tplc="9F782F84" w:tentative="1">
      <w:start w:val="1"/>
      <w:numFmt w:val="decimal"/>
      <w:lvlText w:val="%4."/>
      <w:lvlJc w:val="left"/>
      <w:pPr>
        <w:ind w:left="3087" w:hanging="360"/>
      </w:pPr>
    </w:lvl>
    <w:lvl w:ilvl="4" w:tplc="40103506" w:tentative="1">
      <w:start w:val="1"/>
      <w:numFmt w:val="lowerLetter"/>
      <w:lvlText w:val="%5."/>
      <w:lvlJc w:val="left"/>
      <w:pPr>
        <w:ind w:left="3807" w:hanging="360"/>
      </w:pPr>
    </w:lvl>
    <w:lvl w:ilvl="5" w:tplc="AD66C9EA" w:tentative="1">
      <w:start w:val="1"/>
      <w:numFmt w:val="lowerRoman"/>
      <w:lvlText w:val="%6."/>
      <w:lvlJc w:val="right"/>
      <w:pPr>
        <w:ind w:left="4527" w:hanging="180"/>
      </w:pPr>
    </w:lvl>
    <w:lvl w:ilvl="6" w:tplc="BD04C3BE" w:tentative="1">
      <w:start w:val="1"/>
      <w:numFmt w:val="decimal"/>
      <w:lvlText w:val="%7."/>
      <w:lvlJc w:val="left"/>
      <w:pPr>
        <w:ind w:left="5247" w:hanging="360"/>
      </w:pPr>
    </w:lvl>
    <w:lvl w:ilvl="7" w:tplc="D9845054" w:tentative="1">
      <w:start w:val="1"/>
      <w:numFmt w:val="lowerLetter"/>
      <w:lvlText w:val="%8."/>
      <w:lvlJc w:val="left"/>
      <w:pPr>
        <w:ind w:left="5967" w:hanging="360"/>
      </w:pPr>
    </w:lvl>
    <w:lvl w:ilvl="8" w:tplc="04908B80" w:tentative="1">
      <w:start w:val="1"/>
      <w:numFmt w:val="lowerRoman"/>
      <w:lvlText w:val="%9."/>
      <w:lvlJc w:val="right"/>
      <w:pPr>
        <w:ind w:left="6687" w:hanging="180"/>
      </w:pPr>
    </w:lvl>
  </w:abstractNum>
  <w:abstractNum w:abstractNumId="11" w15:restartNumberingAfterBreak="0">
    <w:nsid w:val="32203E22"/>
    <w:multiLevelType w:val="hybridMultilevel"/>
    <w:tmpl w:val="F6D02304"/>
    <w:lvl w:ilvl="0" w:tplc="5976956E">
      <w:start w:val="1"/>
      <w:numFmt w:val="decimal"/>
      <w:lvlText w:val="%1."/>
      <w:lvlJc w:val="left"/>
      <w:pPr>
        <w:ind w:left="1080" w:hanging="360"/>
      </w:pPr>
      <w:rPr>
        <w:rFonts w:hint="default"/>
      </w:rPr>
    </w:lvl>
    <w:lvl w:ilvl="1" w:tplc="062E6E14" w:tentative="1">
      <w:start w:val="1"/>
      <w:numFmt w:val="lowerLetter"/>
      <w:lvlText w:val="%2."/>
      <w:lvlJc w:val="left"/>
      <w:pPr>
        <w:ind w:left="1800" w:hanging="360"/>
      </w:pPr>
    </w:lvl>
    <w:lvl w:ilvl="2" w:tplc="4ED2431E" w:tentative="1">
      <w:start w:val="1"/>
      <w:numFmt w:val="lowerRoman"/>
      <w:lvlText w:val="%3."/>
      <w:lvlJc w:val="right"/>
      <w:pPr>
        <w:ind w:left="2520" w:hanging="180"/>
      </w:pPr>
    </w:lvl>
    <w:lvl w:ilvl="3" w:tplc="26D87EC4" w:tentative="1">
      <w:start w:val="1"/>
      <w:numFmt w:val="decimal"/>
      <w:lvlText w:val="%4."/>
      <w:lvlJc w:val="left"/>
      <w:pPr>
        <w:ind w:left="3240" w:hanging="360"/>
      </w:pPr>
    </w:lvl>
    <w:lvl w:ilvl="4" w:tplc="A4D872B4" w:tentative="1">
      <w:start w:val="1"/>
      <w:numFmt w:val="lowerLetter"/>
      <w:lvlText w:val="%5."/>
      <w:lvlJc w:val="left"/>
      <w:pPr>
        <w:ind w:left="3960" w:hanging="360"/>
      </w:pPr>
    </w:lvl>
    <w:lvl w:ilvl="5" w:tplc="04FEC20A" w:tentative="1">
      <w:start w:val="1"/>
      <w:numFmt w:val="lowerRoman"/>
      <w:lvlText w:val="%6."/>
      <w:lvlJc w:val="right"/>
      <w:pPr>
        <w:ind w:left="4680" w:hanging="180"/>
      </w:pPr>
    </w:lvl>
    <w:lvl w:ilvl="6" w:tplc="B596C040" w:tentative="1">
      <w:start w:val="1"/>
      <w:numFmt w:val="decimal"/>
      <w:lvlText w:val="%7."/>
      <w:lvlJc w:val="left"/>
      <w:pPr>
        <w:ind w:left="5400" w:hanging="360"/>
      </w:pPr>
    </w:lvl>
    <w:lvl w:ilvl="7" w:tplc="E9D4FD10" w:tentative="1">
      <w:start w:val="1"/>
      <w:numFmt w:val="lowerLetter"/>
      <w:lvlText w:val="%8."/>
      <w:lvlJc w:val="left"/>
      <w:pPr>
        <w:ind w:left="6120" w:hanging="360"/>
      </w:pPr>
    </w:lvl>
    <w:lvl w:ilvl="8" w:tplc="FB14DA66" w:tentative="1">
      <w:start w:val="1"/>
      <w:numFmt w:val="lowerRoman"/>
      <w:lvlText w:val="%9."/>
      <w:lvlJc w:val="right"/>
      <w:pPr>
        <w:ind w:left="6840" w:hanging="180"/>
      </w:pPr>
    </w:lvl>
  </w:abstractNum>
  <w:abstractNum w:abstractNumId="12" w15:restartNumberingAfterBreak="0">
    <w:nsid w:val="33E92EB1"/>
    <w:multiLevelType w:val="multilevel"/>
    <w:tmpl w:val="33E92EB1"/>
    <w:lvl w:ilvl="0">
      <w:start w:val="1"/>
      <w:numFmt w:val="lowerLetter"/>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717769"/>
    <w:multiLevelType w:val="hybridMultilevel"/>
    <w:tmpl w:val="39106E3C"/>
    <w:lvl w:ilvl="0" w:tplc="B1DE182E">
      <w:start w:val="1"/>
      <w:numFmt w:val="decimal"/>
      <w:lvlText w:val="%1."/>
      <w:lvlJc w:val="left"/>
      <w:pPr>
        <w:ind w:left="927" w:hanging="360"/>
      </w:pPr>
      <w:rPr>
        <w:rFonts w:hint="default"/>
      </w:rPr>
    </w:lvl>
    <w:lvl w:ilvl="1" w:tplc="06485B00">
      <w:start w:val="1"/>
      <w:numFmt w:val="lowerLetter"/>
      <w:lvlText w:val="%2."/>
      <w:lvlJc w:val="left"/>
      <w:pPr>
        <w:ind w:left="1647" w:hanging="360"/>
      </w:pPr>
    </w:lvl>
    <w:lvl w:ilvl="2" w:tplc="74FC57FE" w:tentative="1">
      <w:start w:val="1"/>
      <w:numFmt w:val="lowerRoman"/>
      <w:lvlText w:val="%3."/>
      <w:lvlJc w:val="right"/>
      <w:pPr>
        <w:ind w:left="2367" w:hanging="180"/>
      </w:pPr>
    </w:lvl>
    <w:lvl w:ilvl="3" w:tplc="FF481CA0" w:tentative="1">
      <w:start w:val="1"/>
      <w:numFmt w:val="decimal"/>
      <w:lvlText w:val="%4."/>
      <w:lvlJc w:val="left"/>
      <w:pPr>
        <w:ind w:left="3087" w:hanging="360"/>
      </w:pPr>
    </w:lvl>
    <w:lvl w:ilvl="4" w:tplc="7122A2DC" w:tentative="1">
      <w:start w:val="1"/>
      <w:numFmt w:val="lowerLetter"/>
      <w:lvlText w:val="%5."/>
      <w:lvlJc w:val="left"/>
      <w:pPr>
        <w:ind w:left="3807" w:hanging="360"/>
      </w:pPr>
    </w:lvl>
    <w:lvl w:ilvl="5" w:tplc="676276B6" w:tentative="1">
      <w:start w:val="1"/>
      <w:numFmt w:val="lowerRoman"/>
      <w:lvlText w:val="%6."/>
      <w:lvlJc w:val="right"/>
      <w:pPr>
        <w:ind w:left="4527" w:hanging="180"/>
      </w:pPr>
    </w:lvl>
    <w:lvl w:ilvl="6" w:tplc="A79EF0A6" w:tentative="1">
      <w:start w:val="1"/>
      <w:numFmt w:val="decimal"/>
      <w:lvlText w:val="%7."/>
      <w:lvlJc w:val="left"/>
      <w:pPr>
        <w:ind w:left="5247" w:hanging="360"/>
      </w:pPr>
    </w:lvl>
    <w:lvl w:ilvl="7" w:tplc="B71EA4D8" w:tentative="1">
      <w:start w:val="1"/>
      <w:numFmt w:val="lowerLetter"/>
      <w:lvlText w:val="%8."/>
      <w:lvlJc w:val="left"/>
      <w:pPr>
        <w:ind w:left="5967" w:hanging="360"/>
      </w:pPr>
    </w:lvl>
    <w:lvl w:ilvl="8" w:tplc="8C506616" w:tentative="1">
      <w:start w:val="1"/>
      <w:numFmt w:val="lowerRoman"/>
      <w:lvlText w:val="%9."/>
      <w:lvlJc w:val="right"/>
      <w:pPr>
        <w:ind w:left="6687" w:hanging="180"/>
      </w:pPr>
    </w:lvl>
  </w:abstractNum>
  <w:abstractNum w:abstractNumId="14" w15:restartNumberingAfterBreak="0">
    <w:nsid w:val="37A864F9"/>
    <w:multiLevelType w:val="multilevel"/>
    <w:tmpl w:val="37A864F9"/>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6C51F6"/>
    <w:multiLevelType w:val="multilevel"/>
    <w:tmpl w:val="436C51F6"/>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D56A8A"/>
    <w:multiLevelType w:val="hybridMultilevel"/>
    <w:tmpl w:val="1F56AC2E"/>
    <w:lvl w:ilvl="0" w:tplc="B9269760">
      <w:start w:val="1"/>
      <w:numFmt w:val="decimal"/>
      <w:lvlText w:val="%1."/>
      <w:lvlJc w:val="left"/>
      <w:pPr>
        <w:ind w:left="1287" w:hanging="360"/>
      </w:pPr>
    </w:lvl>
    <w:lvl w:ilvl="1" w:tplc="B3100220" w:tentative="1">
      <w:start w:val="1"/>
      <w:numFmt w:val="lowerLetter"/>
      <w:lvlText w:val="%2."/>
      <w:lvlJc w:val="left"/>
      <w:pPr>
        <w:ind w:left="2007" w:hanging="360"/>
      </w:pPr>
    </w:lvl>
    <w:lvl w:ilvl="2" w:tplc="DD00FE64" w:tentative="1">
      <w:start w:val="1"/>
      <w:numFmt w:val="lowerRoman"/>
      <w:lvlText w:val="%3."/>
      <w:lvlJc w:val="right"/>
      <w:pPr>
        <w:ind w:left="2727" w:hanging="180"/>
      </w:pPr>
    </w:lvl>
    <w:lvl w:ilvl="3" w:tplc="07267734" w:tentative="1">
      <w:start w:val="1"/>
      <w:numFmt w:val="decimal"/>
      <w:lvlText w:val="%4."/>
      <w:lvlJc w:val="left"/>
      <w:pPr>
        <w:ind w:left="3447" w:hanging="360"/>
      </w:pPr>
    </w:lvl>
    <w:lvl w:ilvl="4" w:tplc="64F485AC" w:tentative="1">
      <w:start w:val="1"/>
      <w:numFmt w:val="lowerLetter"/>
      <w:lvlText w:val="%5."/>
      <w:lvlJc w:val="left"/>
      <w:pPr>
        <w:ind w:left="4167" w:hanging="360"/>
      </w:pPr>
    </w:lvl>
    <w:lvl w:ilvl="5" w:tplc="BBF8A9DA" w:tentative="1">
      <w:start w:val="1"/>
      <w:numFmt w:val="lowerRoman"/>
      <w:lvlText w:val="%6."/>
      <w:lvlJc w:val="right"/>
      <w:pPr>
        <w:ind w:left="4887" w:hanging="180"/>
      </w:pPr>
    </w:lvl>
    <w:lvl w:ilvl="6" w:tplc="AEAC977A" w:tentative="1">
      <w:start w:val="1"/>
      <w:numFmt w:val="decimal"/>
      <w:lvlText w:val="%7."/>
      <w:lvlJc w:val="left"/>
      <w:pPr>
        <w:ind w:left="5607" w:hanging="360"/>
      </w:pPr>
    </w:lvl>
    <w:lvl w:ilvl="7" w:tplc="B33CA19C" w:tentative="1">
      <w:start w:val="1"/>
      <w:numFmt w:val="lowerLetter"/>
      <w:lvlText w:val="%8."/>
      <w:lvlJc w:val="left"/>
      <w:pPr>
        <w:ind w:left="6327" w:hanging="360"/>
      </w:pPr>
    </w:lvl>
    <w:lvl w:ilvl="8" w:tplc="6ADAAF82" w:tentative="1">
      <w:start w:val="1"/>
      <w:numFmt w:val="lowerRoman"/>
      <w:lvlText w:val="%9."/>
      <w:lvlJc w:val="right"/>
      <w:pPr>
        <w:ind w:left="7047" w:hanging="180"/>
      </w:pPr>
    </w:lvl>
  </w:abstractNum>
  <w:abstractNum w:abstractNumId="17" w15:restartNumberingAfterBreak="0">
    <w:nsid w:val="50243C74"/>
    <w:multiLevelType w:val="hybridMultilevel"/>
    <w:tmpl w:val="AF2EFDF8"/>
    <w:lvl w:ilvl="0" w:tplc="C636BA96">
      <w:start w:val="1"/>
      <w:numFmt w:val="decimal"/>
      <w:lvlText w:val="%1."/>
      <w:lvlJc w:val="left"/>
      <w:pPr>
        <w:ind w:left="927" w:hanging="360"/>
      </w:pPr>
      <w:rPr>
        <w:rFonts w:hint="default"/>
      </w:rPr>
    </w:lvl>
    <w:lvl w:ilvl="1" w:tplc="8410D8F4" w:tentative="1">
      <w:start w:val="1"/>
      <w:numFmt w:val="lowerLetter"/>
      <w:lvlText w:val="%2."/>
      <w:lvlJc w:val="left"/>
      <w:pPr>
        <w:ind w:left="1647" w:hanging="360"/>
      </w:pPr>
    </w:lvl>
    <w:lvl w:ilvl="2" w:tplc="8BC43E7E" w:tentative="1">
      <w:start w:val="1"/>
      <w:numFmt w:val="lowerRoman"/>
      <w:lvlText w:val="%3."/>
      <w:lvlJc w:val="right"/>
      <w:pPr>
        <w:ind w:left="2367" w:hanging="180"/>
      </w:pPr>
    </w:lvl>
    <w:lvl w:ilvl="3" w:tplc="D3B0B238" w:tentative="1">
      <w:start w:val="1"/>
      <w:numFmt w:val="decimal"/>
      <w:lvlText w:val="%4."/>
      <w:lvlJc w:val="left"/>
      <w:pPr>
        <w:ind w:left="3087" w:hanging="360"/>
      </w:pPr>
    </w:lvl>
    <w:lvl w:ilvl="4" w:tplc="B360F93E" w:tentative="1">
      <w:start w:val="1"/>
      <w:numFmt w:val="lowerLetter"/>
      <w:lvlText w:val="%5."/>
      <w:lvlJc w:val="left"/>
      <w:pPr>
        <w:ind w:left="3807" w:hanging="360"/>
      </w:pPr>
    </w:lvl>
    <w:lvl w:ilvl="5" w:tplc="47E208A0" w:tentative="1">
      <w:start w:val="1"/>
      <w:numFmt w:val="lowerRoman"/>
      <w:lvlText w:val="%6."/>
      <w:lvlJc w:val="right"/>
      <w:pPr>
        <w:ind w:left="4527" w:hanging="180"/>
      </w:pPr>
    </w:lvl>
    <w:lvl w:ilvl="6" w:tplc="2F646166" w:tentative="1">
      <w:start w:val="1"/>
      <w:numFmt w:val="decimal"/>
      <w:lvlText w:val="%7."/>
      <w:lvlJc w:val="left"/>
      <w:pPr>
        <w:ind w:left="5247" w:hanging="360"/>
      </w:pPr>
    </w:lvl>
    <w:lvl w:ilvl="7" w:tplc="E500F760" w:tentative="1">
      <w:start w:val="1"/>
      <w:numFmt w:val="lowerLetter"/>
      <w:lvlText w:val="%8."/>
      <w:lvlJc w:val="left"/>
      <w:pPr>
        <w:ind w:left="5967" w:hanging="360"/>
      </w:pPr>
    </w:lvl>
    <w:lvl w:ilvl="8" w:tplc="D95C53A6" w:tentative="1">
      <w:start w:val="1"/>
      <w:numFmt w:val="lowerRoman"/>
      <w:lvlText w:val="%9."/>
      <w:lvlJc w:val="right"/>
      <w:pPr>
        <w:ind w:left="6687" w:hanging="180"/>
      </w:pPr>
    </w:lvl>
  </w:abstractNum>
  <w:abstractNum w:abstractNumId="18" w15:restartNumberingAfterBreak="0">
    <w:nsid w:val="51223C15"/>
    <w:multiLevelType w:val="hybridMultilevel"/>
    <w:tmpl w:val="E8049E0A"/>
    <w:lvl w:ilvl="0" w:tplc="D526BB2C">
      <w:start w:val="1"/>
      <w:numFmt w:val="decimal"/>
      <w:lvlText w:val="%1."/>
      <w:lvlJc w:val="left"/>
      <w:pPr>
        <w:ind w:left="927" w:hanging="360"/>
      </w:pPr>
      <w:rPr>
        <w:rFonts w:hint="default"/>
      </w:rPr>
    </w:lvl>
    <w:lvl w:ilvl="1" w:tplc="15CE0924" w:tentative="1">
      <w:start w:val="1"/>
      <w:numFmt w:val="lowerLetter"/>
      <w:lvlText w:val="%2."/>
      <w:lvlJc w:val="left"/>
      <w:pPr>
        <w:ind w:left="1647" w:hanging="360"/>
      </w:pPr>
    </w:lvl>
    <w:lvl w:ilvl="2" w:tplc="FA205E1E" w:tentative="1">
      <w:start w:val="1"/>
      <w:numFmt w:val="lowerRoman"/>
      <w:lvlText w:val="%3."/>
      <w:lvlJc w:val="right"/>
      <w:pPr>
        <w:ind w:left="2367" w:hanging="180"/>
      </w:pPr>
    </w:lvl>
    <w:lvl w:ilvl="3" w:tplc="38881DC0" w:tentative="1">
      <w:start w:val="1"/>
      <w:numFmt w:val="decimal"/>
      <w:lvlText w:val="%4."/>
      <w:lvlJc w:val="left"/>
      <w:pPr>
        <w:ind w:left="3087" w:hanging="360"/>
      </w:pPr>
    </w:lvl>
    <w:lvl w:ilvl="4" w:tplc="A7E2FB4E" w:tentative="1">
      <w:start w:val="1"/>
      <w:numFmt w:val="lowerLetter"/>
      <w:lvlText w:val="%5."/>
      <w:lvlJc w:val="left"/>
      <w:pPr>
        <w:ind w:left="3807" w:hanging="360"/>
      </w:pPr>
    </w:lvl>
    <w:lvl w:ilvl="5" w:tplc="6D7CD17A" w:tentative="1">
      <w:start w:val="1"/>
      <w:numFmt w:val="lowerRoman"/>
      <w:lvlText w:val="%6."/>
      <w:lvlJc w:val="right"/>
      <w:pPr>
        <w:ind w:left="4527" w:hanging="180"/>
      </w:pPr>
    </w:lvl>
    <w:lvl w:ilvl="6" w:tplc="C6705EDA" w:tentative="1">
      <w:start w:val="1"/>
      <w:numFmt w:val="decimal"/>
      <w:lvlText w:val="%7."/>
      <w:lvlJc w:val="left"/>
      <w:pPr>
        <w:ind w:left="5247" w:hanging="360"/>
      </w:pPr>
    </w:lvl>
    <w:lvl w:ilvl="7" w:tplc="6D0E3822" w:tentative="1">
      <w:start w:val="1"/>
      <w:numFmt w:val="lowerLetter"/>
      <w:lvlText w:val="%8."/>
      <w:lvlJc w:val="left"/>
      <w:pPr>
        <w:ind w:left="5967" w:hanging="360"/>
      </w:pPr>
    </w:lvl>
    <w:lvl w:ilvl="8" w:tplc="D48225D8" w:tentative="1">
      <w:start w:val="1"/>
      <w:numFmt w:val="lowerRoman"/>
      <w:lvlText w:val="%9."/>
      <w:lvlJc w:val="right"/>
      <w:pPr>
        <w:ind w:left="6687" w:hanging="180"/>
      </w:pPr>
    </w:lvl>
  </w:abstractNum>
  <w:abstractNum w:abstractNumId="19" w15:restartNumberingAfterBreak="0">
    <w:nsid w:val="5BB6299F"/>
    <w:multiLevelType w:val="hybridMultilevel"/>
    <w:tmpl w:val="DCA2B43A"/>
    <w:styleLink w:val="ImportedStyle1"/>
    <w:lvl w:ilvl="0" w:tplc="0DCA7B24">
      <w:start w:val="1"/>
      <w:numFmt w:val="decimal"/>
      <w:lvlText w:val="%1."/>
      <w:lvlJc w:val="left"/>
      <w:pPr>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24AF4">
      <w:start w:val="1"/>
      <w:numFmt w:val="lowerLetter"/>
      <w:lvlText w:val="%2."/>
      <w:lvlJc w:val="left"/>
      <w:pPr>
        <w:ind w:left="114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D86F02">
      <w:start w:val="1"/>
      <w:numFmt w:val="lowerRoman"/>
      <w:lvlText w:val="%3."/>
      <w:lvlJc w:val="left"/>
      <w:pPr>
        <w:ind w:left="1866" w:hanging="36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1E820E">
      <w:start w:val="1"/>
      <w:numFmt w:val="decimal"/>
      <w:lvlText w:val="%4."/>
      <w:lvlJc w:val="left"/>
      <w:pPr>
        <w:ind w:left="258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F88BDC">
      <w:start w:val="1"/>
      <w:numFmt w:val="lowerLetter"/>
      <w:lvlText w:val="%5."/>
      <w:lvlJc w:val="left"/>
      <w:pPr>
        <w:ind w:left="330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281DC8">
      <w:start w:val="1"/>
      <w:numFmt w:val="lowerRoman"/>
      <w:lvlText w:val="%6."/>
      <w:lvlJc w:val="left"/>
      <w:pPr>
        <w:ind w:left="4026" w:hanging="36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3A20BE">
      <w:start w:val="1"/>
      <w:numFmt w:val="decimal"/>
      <w:lvlText w:val="%7."/>
      <w:lvlJc w:val="left"/>
      <w:pPr>
        <w:ind w:left="474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36DC">
      <w:start w:val="1"/>
      <w:numFmt w:val="lowerLetter"/>
      <w:lvlText w:val="%8."/>
      <w:lvlJc w:val="left"/>
      <w:pPr>
        <w:ind w:left="546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05F98">
      <w:start w:val="1"/>
      <w:numFmt w:val="lowerRoman"/>
      <w:lvlText w:val="%9."/>
      <w:lvlJc w:val="left"/>
      <w:pPr>
        <w:ind w:left="6186" w:hanging="36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9533B1C"/>
    <w:multiLevelType w:val="hybridMultilevel"/>
    <w:tmpl w:val="A384A8DA"/>
    <w:lvl w:ilvl="0" w:tplc="3B4674A2">
      <w:start w:val="1"/>
      <w:numFmt w:val="decimal"/>
      <w:lvlText w:val="%1."/>
      <w:lvlJc w:val="left"/>
      <w:pPr>
        <w:ind w:left="1287" w:hanging="360"/>
      </w:pPr>
    </w:lvl>
    <w:lvl w:ilvl="1" w:tplc="FA28663E" w:tentative="1">
      <w:start w:val="1"/>
      <w:numFmt w:val="lowerLetter"/>
      <w:lvlText w:val="%2."/>
      <w:lvlJc w:val="left"/>
      <w:pPr>
        <w:ind w:left="2007" w:hanging="360"/>
      </w:pPr>
    </w:lvl>
    <w:lvl w:ilvl="2" w:tplc="F2289318" w:tentative="1">
      <w:start w:val="1"/>
      <w:numFmt w:val="lowerRoman"/>
      <w:lvlText w:val="%3."/>
      <w:lvlJc w:val="right"/>
      <w:pPr>
        <w:ind w:left="2727" w:hanging="180"/>
      </w:pPr>
    </w:lvl>
    <w:lvl w:ilvl="3" w:tplc="7428C5DE" w:tentative="1">
      <w:start w:val="1"/>
      <w:numFmt w:val="decimal"/>
      <w:lvlText w:val="%4."/>
      <w:lvlJc w:val="left"/>
      <w:pPr>
        <w:ind w:left="3447" w:hanging="360"/>
      </w:pPr>
    </w:lvl>
    <w:lvl w:ilvl="4" w:tplc="53C66902" w:tentative="1">
      <w:start w:val="1"/>
      <w:numFmt w:val="lowerLetter"/>
      <w:lvlText w:val="%5."/>
      <w:lvlJc w:val="left"/>
      <w:pPr>
        <w:ind w:left="4167" w:hanging="360"/>
      </w:pPr>
    </w:lvl>
    <w:lvl w:ilvl="5" w:tplc="E196D416" w:tentative="1">
      <w:start w:val="1"/>
      <w:numFmt w:val="lowerRoman"/>
      <w:lvlText w:val="%6."/>
      <w:lvlJc w:val="right"/>
      <w:pPr>
        <w:ind w:left="4887" w:hanging="180"/>
      </w:pPr>
    </w:lvl>
    <w:lvl w:ilvl="6" w:tplc="D4A2D854" w:tentative="1">
      <w:start w:val="1"/>
      <w:numFmt w:val="decimal"/>
      <w:lvlText w:val="%7."/>
      <w:lvlJc w:val="left"/>
      <w:pPr>
        <w:ind w:left="5607" w:hanging="360"/>
      </w:pPr>
    </w:lvl>
    <w:lvl w:ilvl="7" w:tplc="C84807B8" w:tentative="1">
      <w:start w:val="1"/>
      <w:numFmt w:val="lowerLetter"/>
      <w:lvlText w:val="%8."/>
      <w:lvlJc w:val="left"/>
      <w:pPr>
        <w:ind w:left="6327" w:hanging="360"/>
      </w:pPr>
    </w:lvl>
    <w:lvl w:ilvl="8" w:tplc="7B943BDE" w:tentative="1">
      <w:start w:val="1"/>
      <w:numFmt w:val="lowerRoman"/>
      <w:lvlText w:val="%9."/>
      <w:lvlJc w:val="right"/>
      <w:pPr>
        <w:ind w:left="7047" w:hanging="180"/>
      </w:pPr>
    </w:lvl>
  </w:abstractNum>
  <w:num w:numId="1">
    <w:abstractNumId w:val="19"/>
  </w:num>
  <w:num w:numId="2">
    <w:abstractNumId w:val="20"/>
  </w:num>
  <w:num w:numId="3">
    <w:abstractNumId w:val="1"/>
  </w:num>
  <w:num w:numId="4">
    <w:abstractNumId w:val="8"/>
  </w:num>
  <w:num w:numId="5">
    <w:abstractNumId w:val="16"/>
  </w:num>
  <w:num w:numId="6">
    <w:abstractNumId w:val="4"/>
  </w:num>
  <w:num w:numId="7">
    <w:abstractNumId w:val="13"/>
  </w:num>
  <w:num w:numId="8">
    <w:abstractNumId w:val="3"/>
  </w:num>
  <w:num w:numId="9">
    <w:abstractNumId w:val="10"/>
  </w:num>
  <w:num w:numId="10">
    <w:abstractNumId w:val="18"/>
  </w:num>
  <w:num w:numId="11">
    <w:abstractNumId w:val="17"/>
  </w:num>
  <w:num w:numId="12">
    <w:abstractNumId w:val="11"/>
  </w:num>
  <w:num w:numId="13">
    <w:abstractNumId w:val="0"/>
  </w:num>
  <w:num w:numId="14">
    <w:abstractNumId w:val="14"/>
  </w:num>
  <w:num w:numId="15">
    <w:abstractNumId w:val="7"/>
  </w:num>
  <w:num w:numId="16">
    <w:abstractNumId w:val="2"/>
  </w:num>
  <w:num w:numId="17">
    <w:abstractNumId w:val="5"/>
  </w:num>
  <w:num w:numId="18">
    <w:abstractNumId w:val="6"/>
  </w:num>
  <w:num w:numId="19">
    <w:abstractNumId w:val="9"/>
  </w:num>
  <w:num w:numId="20">
    <w:abstractNumId w:val="12"/>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QwBkJDUzNTQwNLcyUdpeDU4uLM/DyQAtNaALUIcmYsAAAA"/>
  </w:docVars>
  <w:rsids>
    <w:rsidRoot w:val="00F755AC"/>
    <w:rsid w:val="00015685"/>
    <w:rsid w:val="00016B93"/>
    <w:rsid w:val="00016E49"/>
    <w:rsid w:val="00021647"/>
    <w:rsid w:val="000265E8"/>
    <w:rsid w:val="00031844"/>
    <w:rsid w:val="000366B8"/>
    <w:rsid w:val="000502BD"/>
    <w:rsid w:val="00050C36"/>
    <w:rsid w:val="00064C46"/>
    <w:rsid w:val="00077725"/>
    <w:rsid w:val="00080395"/>
    <w:rsid w:val="0008338B"/>
    <w:rsid w:val="0008630A"/>
    <w:rsid w:val="00091A1D"/>
    <w:rsid w:val="0009287C"/>
    <w:rsid w:val="000A48BE"/>
    <w:rsid w:val="000A55CD"/>
    <w:rsid w:val="000B0BAE"/>
    <w:rsid w:val="000B2AD6"/>
    <w:rsid w:val="000C203D"/>
    <w:rsid w:val="000D1448"/>
    <w:rsid w:val="000D32BD"/>
    <w:rsid w:val="000E6FBD"/>
    <w:rsid w:val="000E7743"/>
    <w:rsid w:val="000F14ED"/>
    <w:rsid w:val="000F1C1F"/>
    <w:rsid w:val="000F2287"/>
    <w:rsid w:val="000F2FB1"/>
    <w:rsid w:val="0011060A"/>
    <w:rsid w:val="00115297"/>
    <w:rsid w:val="001233A1"/>
    <w:rsid w:val="00126B55"/>
    <w:rsid w:val="00127148"/>
    <w:rsid w:val="001366F8"/>
    <w:rsid w:val="00140531"/>
    <w:rsid w:val="00141BE4"/>
    <w:rsid w:val="00163D24"/>
    <w:rsid w:val="001678B4"/>
    <w:rsid w:val="00170644"/>
    <w:rsid w:val="00177B70"/>
    <w:rsid w:val="00180C93"/>
    <w:rsid w:val="00190FC8"/>
    <w:rsid w:val="00197FDC"/>
    <w:rsid w:val="001B0FA0"/>
    <w:rsid w:val="001B1578"/>
    <w:rsid w:val="001B27F8"/>
    <w:rsid w:val="001C6A17"/>
    <w:rsid w:val="001C76A0"/>
    <w:rsid w:val="001D053D"/>
    <w:rsid w:val="001D059F"/>
    <w:rsid w:val="001D19F3"/>
    <w:rsid w:val="001D1B44"/>
    <w:rsid w:val="001D33ED"/>
    <w:rsid w:val="001D4557"/>
    <w:rsid w:val="001E19E0"/>
    <w:rsid w:val="001E3529"/>
    <w:rsid w:val="001E5DAC"/>
    <w:rsid w:val="001F195E"/>
    <w:rsid w:val="001F3433"/>
    <w:rsid w:val="002075AB"/>
    <w:rsid w:val="00210705"/>
    <w:rsid w:val="00214A1F"/>
    <w:rsid w:val="00230684"/>
    <w:rsid w:val="002336F2"/>
    <w:rsid w:val="002355C8"/>
    <w:rsid w:val="00235EDD"/>
    <w:rsid w:val="00241528"/>
    <w:rsid w:val="00245206"/>
    <w:rsid w:val="002454AC"/>
    <w:rsid w:val="00247238"/>
    <w:rsid w:val="0025034D"/>
    <w:rsid w:val="0025131C"/>
    <w:rsid w:val="00260BA0"/>
    <w:rsid w:val="0026161A"/>
    <w:rsid w:val="00262CEF"/>
    <w:rsid w:val="00263887"/>
    <w:rsid w:val="00265499"/>
    <w:rsid w:val="0026578C"/>
    <w:rsid w:val="0026624C"/>
    <w:rsid w:val="00271506"/>
    <w:rsid w:val="00277549"/>
    <w:rsid w:val="002806F6"/>
    <w:rsid w:val="002858DA"/>
    <w:rsid w:val="0029133B"/>
    <w:rsid w:val="00294518"/>
    <w:rsid w:val="00297A93"/>
    <w:rsid w:val="002A33D4"/>
    <w:rsid w:val="002A77E3"/>
    <w:rsid w:val="002B1503"/>
    <w:rsid w:val="002B2D53"/>
    <w:rsid w:val="002B3985"/>
    <w:rsid w:val="002B3DD7"/>
    <w:rsid w:val="002D3117"/>
    <w:rsid w:val="002D4C3E"/>
    <w:rsid w:val="002D7B58"/>
    <w:rsid w:val="002E1544"/>
    <w:rsid w:val="002F3FF9"/>
    <w:rsid w:val="002F514F"/>
    <w:rsid w:val="003002FC"/>
    <w:rsid w:val="003021E3"/>
    <w:rsid w:val="00304EC1"/>
    <w:rsid w:val="00305BD5"/>
    <w:rsid w:val="00307010"/>
    <w:rsid w:val="00314F00"/>
    <w:rsid w:val="00315EB4"/>
    <w:rsid w:val="0031603E"/>
    <w:rsid w:val="003314CA"/>
    <w:rsid w:val="00335624"/>
    <w:rsid w:val="003362B1"/>
    <w:rsid w:val="003461B6"/>
    <w:rsid w:val="003469FA"/>
    <w:rsid w:val="00350360"/>
    <w:rsid w:val="00353A7B"/>
    <w:rsid w:val="003556AC"/>
    <w:rsid w:val="003574B3"/>
    <w:rsid w:val="00377440"/>
    <w:rsid w:val="00384562"/>
    <w:rsid w:val="00394C95"/>
    <w:rsid w:val="003A22EC"/>
    <w:rsid w:val="003A3ABB"/>
    <w:rsid w:val="003B19E6"/>
    <w:rsid w:val="003B2B69"/>
    <w:rsid w:val="003B5B4F"/>
    <w:rsid w:val="003C26EA"/>
    <w:rsid w:val="003C2F45"/>
    <w:rsid w:val="003C4B44"/>
    <w:rsid w:val="003C68C3"/>
    <w:rsid w:val="003C7692"/>
    <w:rsid w:val="003F6DA7"/>
    <w:rsid w:val="00400144"/>
    <w:rsid w:val="0040381E"/>
    <w:rsid w:val="00404F96"/>
    <w:rsid w:val="00407003"/>
    <w:rsid w:val="00410C06"/>
    <w:rsid w:val="00412070"/>
    <w:rsid w:val="0041245B"/>
    <w:rsid w:val="00414A6E"/>
    <w:rsid w:val="004212FA"/>
    <w:rsid w:val="004263B4"/>
    <w:rsid w:val="00436112"/>
    <w:rsid w:val="004417CB"/>
    <w:rsid w:val="00443F55"/>
    <w:rsid w:val="00450AF1"/>
    <w:rsid w:val="00454074"/>
    <w:rsid w:val="004553AB"/>
    <w:rsid w:val="0046789D"/>
    <w:rsid w:val="00467CD0"/>
    <w:rsid w:val="00470C33"/>
    <w:rsid w:val="004815D9"/>
    <w:rsid w:val="00481D10"/>
    <w:rsid w:val="0048292F"/>
    <w:rsid w:val="004872F0"/>
    <w:rsid w:val="00493123"/>
    <w:rsid w:val="004949EF"/>
    <w:rsid w:val="004A0269"/>
    <w:rsid w:val="004A0290"/>
    <w:rsid w:val="004A7527"/>
    <w:rsid w:val="004B08D9"/>
    <w:rsid w:val="004B53E4"/>
    <w:rsid w:val="004C01F0"/>
    <w:rsid w:val="004C472F"/>
    <w:rsid w:val="004C60A8"/>
    <w:rsid w:val="004D3B51"/>
    <w:rsid w:val="004E169A"/>
    <w:rsid w:val="004E1B21"/>
    <w:rsid w:val="004E35C2"/>
    <w:rsid w:val="004E3A22"/>
    <w:rsid w:val="004E6BAA"/>
    <w:rsid w:val="004E7A6E"/>
    <w:rsid w:val="004F0F69"/>
    <w:rsid w:val="004F0FB6"/>
    <w:rsid w:val="004F365E"/>
    <w:rsid w:val="004F5C17"/>
    <w:rsid w:val="00500DB8"/>
    <w:rsid w:val="00501702"/>
    <w:rsid w:val="00502D24"/>
    <w:rsid w:val="00507FCC"/>
    <w:rsid w:val="0051496B"/>
    <w:rsid w:val="00523C3B"/>
    <w:rsid w:val="00536C8D"/>
    <w:rsid w:val="005450DC"/>
    <w:rsid w:val="005470CB"/>
    <w:rsid w:val="00547FC9"/>
    <w:rsid w:val="00552CB5"/>
    <w:rsid w:val="00553C92"/>
    <w:rsid w:val="00556644"/>
    <w:rsid w:val="00560101"/>
    <w:rsid w:val="005605E2"/>
    <w:rsid w:val="0056112F"/>
    <w:rsid w:val="0056304B"/>
    <w:rsid w:val="00564BEE"/>
    <w:rsid w:val="00566002"/>
    <w:rsid w:val="00587CA6"/>
    <w:rsid w:val="005A1257"/>
    <w:rsid w:val="005A18D3"/>
    <w:rsid w:val="005A1B75"/>
    <w:rsid w:val="005A4875"/>
    <w:rsid w:val="005A4B6E"/>
    <w:rsid w:val="005A6D95"/>
    <w:rsid w:val="005B2DED"/>
    <w:rsid w:val="005B32D9"/>
    <w:rsid w:val="005B331C"/>
    <w:rsid w:val="005B69BB"/>
    <w:rsid w:val="005C0BC4"/>
    <w:rsid w:val="005C4330"/>
    <w:rsid w:val="005C6208"/>
    <w:rsid w:val="005C6EB9"/>
    <w:rsid w:val="005D0AB1"/>
    <w:rsid w:val="005D7E0C"/>
    <w:rsid w:val="005F03AE"/>
    <w:rsid w:val="005F7C00"/>
    <w:rsid w:val="00606FC7"/>
    <w:rsid w:val="00607944"/>
    <w:rsid w:val="006079D5"/>
    <w:rsid w:val="00607D1C"/>
    <w:rsid w:val="00613B54"/>
    <w:rsid w:val="0061585E"/>
    <w:rsid w:val="006178A5"/>
    <w:rsid w:val="00621F9F"/>
    <w:rsid w:val="00622A0C"/>
    <w:rsid w:val="006327B0"/>
    <w:rsid w:val="00647AAE"/>
    <w:rsid w:val="00654295"/>
    <w:rsid w:val="00654FA3"/>
    <w:rsid w:val="00655342"/>
    <w:rsid w:val="006564A3"/>
    <w:rsid w:val="00656A21"/>
    <w:rsid w:val="00657790"/>
    <w:rsid w:val="006614E2"/>
    <w:rsid w:val="006615CF"/>
    <w:rsid w:val="00661CB6"/>
    <w:rsid w:val="0067251D"/>
    <w:rsid w:val="00674C73"/>
    <w:rsid w:val="0068226B"/>
    <w:rsid w:val="00682BE9"/>
    <w:rsid w:val="00687249"/>
    <w:rsid w:val="006A0B61"/>
    <w:rsid w:val="006A2EE9"/>
    <w:rsid w:val="006A525A"/>
    <w:rsid w:val="006A6C53"/>
    <w:rsid w:val="006B1063"/>
    <w:rsid w:val="006B38F9"/>
    <w:rsid w:val="006C19F2"/>
    <w:rsid w:val="006C4E11"/>
    <w:rsid w:val="006C5973"/>
    <w:rsid w:val="006D17C9"/>
    <w:rsid w:val="006D3796"/>
    <w:rsid w:val="006E1A95"/>
    <w:rsid w:val="006E2503"/>
    <w:rsid w:val="006E49D9"/>
    <w:rsid w:val="006E6C37"/>
    <w:rsid w:val="006F2AEB"/>
    <w:rsid w:val="006F42A8"/>
    <w:rsid w:val="0070031F"/>
    <w:rsid w:val="0071043E"/>
    <w:rsid w:val="00712B29"/>
    <w:rsid w:val="0071669B"/>
    <w:rsid w:val="00743853"/>
    <w:rsid w:val="00745710"/>
    <w:rsid w:val="00747DD0"/>
    <w:rsid w:val="00753021"/>
    <w:rsid w:val="0075788D"/>
    <w:rsid w:val="00762D8C"/>
    <w:rsid w:val="00770FF8"/>
    <w:rsid w:val="007802CC"/>
    <w:rsid w:val="00783A8E"/>
    <w:rsid w:val="007A0C5A"/>
    <w:rsid w:val="007A22B2"/>
    <w:rsid w:val="007A67C6"/>
    <w:rsid w:val="007B17EB"/>
    <w:rsid w:val="007B26C4"/>
    <w:rsid w:val="007C0253"/>
    <w:rsid w:val="007C4EF2"/>
    <w:rsid w:val="007C7B3B"/>
    <w:rsid w:val="007D08FE"/>
    <w:rsid w:val="007D340F"/>
    <w:rsid w:val="007D461D"/>
    <w:rsid w:val="007E2800"/>
    <w:rsid w:val="007E5B2F"/>
    <w:rsid w:val="007E7878"/>
    <w:rsid w:val="007F1658"/>
    <w:rsid w:val="007F3292"/>
    <w:rsid w:val="008038B6"/>
    <w:rsid w:val="008059CD"/>
    <w:rsid w:val="00806A7E"/>
    <w:rsid w:val="00820E75"/>
    <w:rsid w:val="00821DD0"/>
    <w:rsid w:val="00824325"/>
    <w:rsid w:val="008253C2"/>
    <w:rsid w:val="00825A97"/>
    <w:rsid w:val="0082797D"/>
    <w:rsid w:val="0083522C"/>
    <w:rsid w:val="00843A66"/>
    <w:rsid w:val="00847D07"/>
    <w:rsid w:val="00860C97"/>
    <w:rsid w:val="00860CE3"/>
    <w:rsid w:val="00860FD4"/>
    <w:rsid w:val="00871D65"/>
    <w:rsid w:val="00872794"/>
    <w:rsid w:val="00886D58"/>
    <w:rsid w:val="00887CF2"/>
    <w:rsid w:val="008A34D5"/>
    <w:rsid w:val="008B1942"/>
    <w:rsid w:val="008B21A3"/>
    <w:rsid w:val="008B26C5"/>
    <w:rsid w:val="008B502B"/>
    <w:rsid w:val="008B51FC"/>
    <w:rsid w:val="008B5287"/>
    <w:rsid w:val="008C7CF2"/>
    <w:rsid w:val="008D2B97"/>
    <w:rsid w:val="008D6676"/>
    <w:rsid w:val="008E29F8"/>
    <w:rsid w:val="008E31A6"/>
    <w:rsid w:val="008E454A"/>
    <w:rsid w:val="008E60F9"/>
    <w:rsid w:val="008F0BD5"/>
    <w:rsid w:val="008F2F9F"/>
    <w:rsid w:val="008F4D07"/>
    <w:rsid w:val="008F620E"/>
    <w:rsid w:val="008F64CD"/>
    <w:rsid w:val="008F6542"/>
    <w:rsid w:val="00900A1C"/>
    <w:rsid w:val="009077F2"/>
    <w:rsid w:val="00907BF9"/>
    <w:rsid w:val="00910B95"/>
    <w:rsid w:val="00911EB9"/>
    <w:rsid w:val="00912F14"/>
    <w:rsid w:val="00913184"/>
    <w:rsid w:val="0092009E"/>
    <w:rsid w:val="0092500F"/>
    <w:rsid w:val="00934A2D"/>
    <w:rsid w:val="00940FDF"/>
    <w:rsid w:val="00942D78"/>
    <w:rsid w:val="00943490"/>
    <w:rsid w:val="00950038"/>
    <w:rsid w:val="00950709"/>
    <w:rsid w:val="00953922"/>
    <w:rsid w:val="00954E20"/>
    <w:rsid w:val="009551FF"/>
    <w:rsid w:val="00955983"/>
    <w:rsid w:val="00955B0D"/>
    <w:rsid w:val="00960F6B"/>
    <w:rsid w:val="0096170D"/>
    <w:rsid w:val="009855F7"/>
    <w:rsid w:val="009A26F1"/>
    <w:rsid w:val="009A5D01"/>
    <w:rsid w:val="009B088F"/>
    <w:rsid w:val="009B0CBE"/>
    <w:rsid w:val="009B29B6"/>
    <w:rsid w:val="009B5BC5"/>
    <w:rsid w:val="009C4836"/>
    <w:rsid w:val="009C4968"/>
    <w:rsid w:val="009C55AC"/>
    <w:rsid w:val="009D5558"/>
    <w:rsid w:val="009D5AA6"/>
    <w:rsid w:val="009D621E"/>
    <w:rsid w:val="009E004B"/>
    <w:rsid w:val="009E1E75"/>
    <w:rsid w:val="009E50CA"/>
    <w:rsid w:val="009E598C"/>
    <w:rsid w:val="009F4569"/>
    <w:rsid w:val="009F5328"/>
    <w:rsid w:val="00A03F66"/>
    <w:rsid w:val="00A06F50"/>
    <w:rsid w:val="00A10FBC"/>
    <w:rsid w:val="00A1280B"/>
    <w:rsid w:val="00A21D36"/>
    <w:rsid w:val="00A26735"/>
    <w:rsid w:val="00A33C47"/>
    <w:rsid w:val="00A34600"/>
    <w:rsid w:val="00A403AF"/>
    <w:rsid w:val="00A41980"/>
    <w:rsid w:val="00A4247A"/>
    <w:rsid w:val="00A50A66"/>
    <w:rsid w:val="00A50F63"/>
    <w:rsid w:val="00A60EB8"/>
    <w:rsid w:val="00A61150"/>
    <w:rsid w:val="00A63FC9"/>
    <w:rsid w:val="00A70ED5"/>
    <w:rsid w:val="00A7391B"/>
    <w:rsid w:val="00A75BFE"/>
    <w:rsid w:val="00A83F8D"/>
    <w:rsid w:val="00A8599D"/>
    <w:rsid w:val="00A86E5F"/>
    <w:rsid w:val="00A92D8C"/>
    <w:rsid w:val="00A950ED"/>
    <w:rsid w:val="00A95E53"/>
    <w:rsid w:val="00A9669D"/>
    <w:rsid w:val="00A9681E"/>
    <w:rsid w:val="00AA6CC0"/>
    <w:rsid w:val="00AC12FC"/>
    <w:rsid w:val="00AC1895"/>
    <w:rsid w:val="00AC6DB6"/>
    <w:rsid w:val="00AC7D15"/>
    <w:rsid w:val="00AD25D9"/>
    <w:rsid w:val="00AD3226"/>
    <w:rsid w:val="00AE59FE"/>
    <w:rsid w:val="00AF01C8"/>
    <w:rsid w:val="00AF0280"/>
    <w:rsid w:val="00AF0682"/>
    <w:rsid w:val="00AF268A"/>
    <w:rsid w:val="00AF775F"/>
    <w:rsid w:val="00AF798A"/>
    <w:rsid w:val="00B02F0B"/>
    <w:rsid w:val="00B10B25"/>
    <w:rsid w:val="00B14A8A"/>
    <w:rsid w:val="00B15105"/>
    <w:rsid w:val="00B15974"/>
    <w:rsid w:val="00B176F3"/>
    <w:rsid w:val="00B268A4"/>
    <w:rsid w:val="00B31035"/>
    <w:rsid w:val="00B3114C"/>
    <w:rsid w:val="00B37183"/>
    <w:rsid w:val="00B534BD"/>
    <w:rsid w:val="00B564EA"/>
    <w:rsid w:val="00B61D84"/>
    <w:rsid w:val="00B71EAC"/>
    <w:rsid w:val="00B809A3"/>
    <w:rsid w:val="00B91AA5"/>
    <w:rsid w:val="00BA27BC"/>
    <w:rsid w:val="00BA3073"/>
    <w:rsid w:val="00BA52D3"/>
    <w:rsid w:val="00BB01C2"/>
    <w:rsid w:val="00BB24AF"/>
    <w:rsid w:val="00BC3257"/>
    <w:rsid w:val="00BD27DA"/>
    <w:rsid w:val="00BE2773"/>
    <w:rsid w:val="00C02BB3"/>
    <w:rsid w:val="00C10309"/>
    <w:rsid w:val="00C13357"/>
    <w:rsid w:val="00C24D40"/>
    <w:rsid w:val="00C263CC"/>
    <w:rsid w:val="00C267B9"/>
    <w:rsid w:val="00C267F2"/>
    <w:rsid w:val="00C326F6"/>
    <w:rsid w:val="00C356D1"/>
    <w:rsid w:val="00C408A7"/>
    <w:rsid w:val="00C41102"/>
    <w:rsid w:val="00C42BFC"/>
    <w:rsid w:val="00C529C0"/>
    <w:rsid w:val="00C56BCA"/>
    <w:rsid w:val="00C579A5"/>
    <w:rsid w:val="00C60AAA"/>
    <w:rsid w:val="00C63892"/>
    <w:rsid w:val="00C70246"/>
    <w:rsid w:val="00C70BCA"/>
    <w:rsid w:val="00C7125C"/>
    <w:rsid w:val="00C713CC"/>
    <w:rsid w:val="00C75939"/>
    <w:rsid w:val="00C83CAA"/>
    <w:rsid w:val="00C85289"/>
    <w:rsid w:val="00C85855"/>
    <w:rsid w:val="00C865E9"/>
    <w:rsid w:val="00C86B8B"/>
    <w:rsid w:val="00C86BAE"/>
    <w:rsid w:val="00C93F0B"/>
    <w:rsid w:val="00C96465"/>
    <w:rsid w:val="00C96B2B"/>
    <w:rsid w:val="00CA4730"/>
    <w:rsid w:val="00CA522C"/>
    <w:rsid w:val="00CA7AB0"/>
    <w:rsid w:val="00CB0EF1"/>
    <w:rsid w:val="00CB6E9F"/>
    <w:rsid w:val="00CC4126"/>
    <w:rsid w:val="00CC77D4"/>
    <w:rsid w:val="00CD3286"/>
    <w:rsid w:val="00CD41C0"/>
    <w:rsid w:val="00CE004A"/>
    <w:rsid w:val="00CE1514"/>
    <w:rsid w:val="00CE7076"/>
    <w:rsid w:val="00CF3D74"/>
    <w:rsid w:val="00D0288C"/>
    <w:rsid w:val="00D0422A"/>
    <w:rsid w:val="00D06EE5"/>
    <w:rsid w:val="00D1070E"/>
    <w:rsid w:val="00D17951"/>
    <w:rsid w:val="00D17ED7"/>
    <w:rsid w:val="00D53601"/>
    <w:rsid w:val="00D72C5D"/>
    <w:rsid w:val="00D75FE6"/>
    <w:rsid w:val="00D82AC8"/>
    <w:rsid w:val="00D87734"/>
    <w:rsid w:val="00D90C85"/>
    <w:rsid w:val="00D910E2"/>
    <w:rsid w:val="00D9274D"/>
    <w:rsid w:val="00D957A8"/>
    <w:rsid w:val="00D95D98"/>
    <w:rsid w:val="00D962BE"/>
    <w:rsid w:val="00DA389F"/>
    <w:rsid w:val="00DA69DD"/>
    <w:rsid w:val="00DC01CD"/>
    <w:rsid w:val="00DC5382"/>
    <w:rsid w:val="00DD2029"/>
    <w:rsid w:val="00DD2271"/>
    <w:rsid w:val="00DD2B75"/>
    <w:rsid w:val="00DD4213"/>
    <w:rsid w:val="00DE4138"/>
    <w:rsid w:val="00DE425E"/>
    <w:rsid w:val="00E00EF2"/>
    <w:rsid w:val="00E022F9"/>
    <w:rsid w:val="00E0686A"/>
    <w:rsid w:val="00E1415E"/>
    <w:rsid w:val="00E21154"/>
    <w:rsid w:val="00E3459D"/>
    <w:rsid w:val="00E355A9"/>
    <w:rsid w:val="00E46C36"/>
    <w:rsid w:val="00E47473"/>
    <w:rsid w:val="00E47ADC"/>
    <w:rsid w:val="00E52F25"/>
    <w:rsid w:val="00E53066"/>
    <w:rsid w:val="00E64602"/>
    <w:rsid w:val="00E648A2"/>
    <w:rsid w:val="00E75D97"/>
    <w:rsid w:val="00E77786"/>
    <w:rsid w:val="00E80A5B"/>
    <w:rsid w:val="00E80F77"/>
    <w:rsid w:val="00E81922"/>
    <w:rsid w:val="00E828DD"/>
    <w:rsid w:val="00E85778"/>
    <w:rsid w:val="00E860BE"/>
    <w:rsid w:val="00E91AB0"/>
    <w:rsid w:val="00E92F80"/>
    <w:rsid w:val="00EA0632"/>
    <w:rsid w:val="00EA3FA0"/>
    <w:rsid w:val="00EA5474"/>
    <w:rsid w:val="00EA7D1D"/>
    <w:rsid w:val="00EB7A00"/>
    <w:rsid w:val="00ED3462"/>
    <w:rsid w:val="00ED627A"/>
    <w:rsid w:val="00EE07C5"/>
    <w:rsid w:val="00EE6AB8"/>
    <w:rsid w:val="00EF3925"/>
    <w:rsid w:val="00EF7E66"/>
    <w:rsid w:val="00F01EA9"/>
    <w:rsid w:val="00F0397C"/>
    <w:rsid w:val="00F05E9C"/>
    <w:rsid w:val="00F13402"/>
    <w:rsid w:val="00F21E5A"/>
    <w:rsid w:val="00F35187"/>
    <w:rsid w:val="00F41589"/>
    <w:rsid w:val="00F51F7C"/>
    <w:rsid w:val="00F52A12"/>
    <w:rsid w:val="00F72E97"/>
    <w:rsid w:val="00F736DC"/>
    <w:rsid w:val="00F755AC"/>
    <w:rsid w:val="00F81966"/>
    <w:rsid w:val="00F93D5E"/>
    <w:rsid w:val="00FB2DF7"/>
    <w:rsid w:val="00FB3F85"/>
    <w:rsid w:val="00FB5D02"/>
    <w:rsid w:val="00FB6260"/>
    <w:rsid w:val="00FB69A7"/>
    <w:rsid w:val="00FD5D22"/>
    <w:rsid w:val="00FF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D7F5"/>
  <w15:chartTrackingRefBased/>
  <w15:docId w15:val="{556A4F98-8563-45F1-97B1-2AC83B0C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92"/>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link w:val="Heading1Char"/>
    <w:uiPriority w:val="9"/>
    <w:qFormat/>
    <w:rsid w:val="00F755AC"/>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unhideWhenUsed/>
    <w:qFormat/>
    <w:rsid w:val="00F755AC"/>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link w:val="Heading3Char"/>
    <w:uiPriority w:val="9"/>
    <w:qFormat/>
    <w:rsid w:val="00F755AC"/>
    <w:pPr>
      <w:spacing w:before="100" w:beforeAutospacing="1" w:after="100" w:afterAutospacing="1"/>
      <w:outlineLvl w:val="2"/>
    </w:pPr>
    <w:rPr>
      <w:b/>
      <w:bCs/>
      <w:sz w:val="27"/>
      <w:szCs w:val="27"/>
      <w:lang w:val="en-US" w:eastAsia="ja-JP"/>
    </w:rPr>
  </w:style>
  <w:style w:type="paragraph" w:styleId="Heading4">
    <w:name w:val="heading 4"/>
    <w:basedOn w:val="Normal"/>
    <w:next w:val="Normal"/>
    <w:link w:val="Heading4Char"/>
    <w:uiPriority w:val="9"/>
    <w:semiHidden/>
    <w:unhideWhenUsed/>
    <w:qFormat/>
    <w:rsid w:val="007E5B2F"/>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n-US"/>
    </w:rPr>
  </w:style>
  <w:style w:type="paragraph" w:styleId="Heading5">
    <w:name w:val="heading 5"/>
    <w:basedOn w:val="Normal"/>
    <w:next w:val="Normal"/>
    <w:link w:val="Heading5Char"/>
    <w:uiPriority w:val="9"/>
    <w:semiHidden/>
    <w:unhideWhenUsed/>
    <w:qFormat/>
    <w:rsid w:val="00F755A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7E5B2F"/>
    <w:pPr>
      <w:keepNext/>
      <w:keepLines/>
      <w:spacing w:before="40" w:line="276" w:lineRule="auto"/>
      <w:outlineLvl w:val="5"/>
    </w:pPr>
    <w:rPr>
      <w:rFonts w:asciiTheme="majorHAnsi" w:eastAsiaTheme="majorEastAsia" w:hAnsiTheme="majorHAnsi" w:cstheme="majorBidi"/>
      <w:color w:val="1F3763"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55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55AC"/>
    <w:rPr>
      <w:rFonts w:ascii="Times New Roman" w:eastAsia="Times New Roman" w:hAnsi="Times New Roman" w:cs="Times New Roman"/>
      <w:b/>
      <w:bCs/>
      <w:sz w:val="27"/>
      <w:szCs w:val="27"/>
      <w:lang w:eastAsia="ja-JP"/>
    </w:rPr>
  </w:style>
  <w:style w:type="character" w:customStyle="1" w:styleId="Heading5Char">
    <w:name w:val="Heading 5 Char"/>
    <w:basedOn w:val="DefaultParagraphFont"/>
    <w:link w:val="Heading5"/>
    <w:uiPriority w:val="9"/>
    <w:semiHidden/>
    <w:rsid w:val="00F755AC"/>
    <w:rPr>
      <w:rFonts w:asciiTheme="majorHAnsi" w:eastAsiaTheme="majorEastAsia" w:hAnsiTheme="majorHAnsi" w:cstheme="majorBidi"/>
      <w:color w:val="2F5496" w:themeColor="accent1" w:themeShade="BF"/>
    </w:rPr>
  </w:style>
  <w:style w:type="character" w:customStyle="1" w:styleId="apple-style-span">
    <w:name w:val="apple-style-span"/>
    <w:basedOn w:val="DefaultParagraphFont"/>
    <w:rsid w:val="00F755AC"/>
  </w:style>
  <w:style w:type="paragraph" w:styleId="ListParagraph">
    <w:name w:val="List Paragraph"/>
    <w:basedOn w:val="Normal"/>
    <w:uiPriority w:val="34"/>
    <w:qFormat/>
    <w:rsid w:val="00F755AC"/>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qFormat/>
    <w:rsid w:val="00F755AC"/>
    <w:pPr>
      <w:spacing w:after="0" w:line="240" w:lineRule="auto"/>
    </w:pPr>
    <w:rPr>
      <w:rFonts w:ascii="Century" w:eastAsia="Century" w:hAnsi="Century"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Text Char Char Char Char Char,Footnote Text Char Char Char Char Char Char Ch"/>
    <w:basedOn w:val="Normal"/>
    <w:link w:val="FootnoteTextChar"/>
    <w:unhideWhenUsed/>
    <w:rsid w:val="00F755AC"/>
    <w:rPr>
      <w:rFonts w:ascii="Calibri" w:eastAsia="Calibri" w:hAnsi="Calibri"/>
      <w:sz w:val="20"/>
      <w:szCs w:val="20"/>
      <w:lang w:val="en-US"/>
    </w:rPr>
  </w:style>
  <w:style w:type="character" w:customStyle="1" w:styleId="FootnoteTextChar">
    <w:name w:val="Footnote Text Char"/>
    <w:aliases w:val="Footnote Text Char Char Char Char Char Char,Footnote Text Char Char Char Char Char Char Ch Char"/>
    <w:basedOn w:val="DefaultParagraphFont"/>
    <w:link w:val="FootnoteText"/>
    <w:uiPriority w:val="99"/>
    <w:rsid w:val="00F755A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55AC"/>
    <w:rPr>
      <w:vertAlign w:val="superscript"/>
    </w:rPr>
  </w:style>
  <w:style w:type="character" w:customStyle="1" w:styleId="apple-converted-space">
    <w:name w:val="apple-converted-space"/>
    <w:basedOn w:val="DefaultParagraphFont"/>
    <w:rsid w:val="00F755AC"/>
  </w:style>
  <w:style w:type="paragraph" w:styleId="Header">
    <w:name w:val="header"/>
    <w:basedOn w:val="Normal"/>
    <w:link w:val="HeaderChar"/>
    <w:unhideWhenUsed/>
    <w:rsid w:val="00F755AC"/>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F755AC"/>
    <w:rPr>
      <w:rFonts w:ascii="Calibri" w:eastAsia="Calibri" w:hAnsi="Calibri" w:cs="Times New Roman"/>
    </w:rPr>
  </w:style>
  <w:style w:type="paragraph" w:styleId="Footer">
    <w:name w:val="footer"/>
    <w:basedOn w:val="Normal"/>
    <w:link w:val="FooterChar"/>
    <w:unhideWhenUsed/>
    <w:rsid w:val="00F755AC"/>
    <w:pPr>
      <w:tabs>
        <w:tab w:val="center" w:pos="4680"/>
        <w:tab w:val="right" w:pos="9360"/>
      </w:tabs>
    </w:pPr>
    <w:rPr>
      <w:rFonts w:ascii="Calibri" w:eastAsia="Calibri" w:hAnsi="Calibri"/>
      <w:sz w:val="22"/>
      <w:szCs w:val="22"/>
      <w:lang w:val="en-US"/>
    </w:rPr>
  </w:style>
  <w:style w:type="character" w:customStyle="1" w:styleId="FooterChar">
    <w:name w:val="Footer Char"/>
    <w:basedOn w:val="DefaultParagraphFont"/>
    <w:link w:val="Footer"/>
    <w:uiPriority w:val="99"/>
    <w:rsid w:val="00F755AC"/>
    <w:rPr>
      <w:rFonts w:ascii="Calibri" w:eastAsia="Calibri" w:hAnsi="Calibri" w:cs="Times New Roman"/>
    </w:rPr>
  </w:style>
  <w:style w:type="character" w:styleId="Hyperlink">
    <w:name w:val="Hyperlink"/>
    <w:basedOn w:val="DefaultParagraphFont"/>
    <w:unhideWhenUsed/>
    <w:rsid w:val="00F755AC"/>
    <w:rPr>
      <w:color w:val="0000FF"/>
      <w:u w:val="single"/>
    </w:rPr>
  </w:style>
  <w:style w:type="paragraph" w:styleId="BalloonText">
    <w:name w:val="Balloon Text"/>
    <w:basedOn w:val="Normal"/>
    <w:link w:val="BalloonTextChar"/>
    <w:uiPriority w:val="99"/>
    <w:semiHidden/>
    <w:unhideWhenUsed/>
    <w:rsid w:val="00F755AC"/>
    <w:rPr>
      <w:rFonts w:ascii="Tahoma" w:hAnsi="Tahoma" w:cs="Tahoma"/>
      <w:sz w:val="16"/>
      <w:szCs w:val="16"/>
    </w:rPr>
  </w:style>
  <w:style w:type="character" w:customStyle="1" w:styleId="BalloonTextChar">
    <w:name w:val="Balloon Text Char"/>
    <w:basedOn w:val="DefaultParagraphFont"/>
    <w:link w:val="BalloonText"/>
    <w:uiPriority w:val="99"/>
    <w:semiHidden/>
    <w:rsid w:val="00F755AC"/>
    <w:rPr>
      <w:rFonts w:ascii="Tahoma" w:eastAsia="Calibri" w:hAnsi="Tahoma" w:cs="Tahoma"/>
      <w:sz w:val="16"/>
      <w:szCs w:val="16"/>
    </w:rPr>
  </w:style>
  <w:style w:type="paragraph" w:styleId="Bibliography">
    <w:name w:val="Bibliography"/>
    <w:basedOn w:val="Normal"/>
    <w:next w:val="Normal"/>
    <w:uiPriority w:val="37"/>
    <w:unhideWhenUsed/>
    <w:rsid w:val="00F755AC"/>
    <w:pPr>
      <w:spacing w:after="200" w:line="276" w:lineRule="auto"/>
    </w:pPr>
    <w:rPr>
      <w:rFonts w:ascii="Calibri" w:eastAsia="Calibri" w:hAnsi="Calibri"/>
      <w:sz w:val="22"/>
      <w:szCs w:val="22"/>
      <w:lang w:val="en-US"/>
    </w:rPr>
  </w:style>
  <w:style w:type="character" w:styleId="FollowedHyperlink">
    <w:name w:val="FollowedHyperlink"/>
    <w:basedOn w:val="DefaultParagraphFont"/>
    <w:uiPriority w:val="99"/>
    <w:semiHidden/>
    <w:unhideWhenUsed/>
    <w:rsid w:val="00F755AC"/>
    <w:rPr>
      <w:color w:val="954F72" w:themeColor="followedHyperlink"/>
      <w:u w:val="single"/>
    </w:rPr>
  </w:style>
  <w:style w:type="character" w:styleId="Emphasis">
    <w:name w:val="Emphasis"/>
    <w:basedOn w:val="DefaultParagraphFont"/>
    <w:uiPriority w:val="20"/>
    <w:qFormat/>
    <w:rsid w:val="00F755AC"/>
    <w:rPr>
      <w:i/>
      <w:iCs/>
    </w:rPr>
  </w:style>
  <w:style w:type="character" w:customStyle="1" w:styleId="st">
    <w:name w:val="st"/>
    <w:basedOn w:val="DefaultParagraphFont"/>
    <w:rsid w:val="00F755AC"/>
  </w:style>
  <w:style w:type="paragraph" w:styleId="NormalWeb">
    <w:name w:val="Normal (Web)"/>
    <w:basedOn w:val="Normal"/>
    <w:uiPriority w:val="99"/>
    <w:unhideWhenUsed/>
    <w:rsid w:val="00F755AC"/>
    <w:pPr>
      <w:spacing w:before="100" w:beforeAutospacing="1" w:after="100" w:afterAutospacing="1"/>
    </w:pPr>
    <w:rPr>
      <w:lang w:val="en-US" w:eastAsia="ja-JP"/>
    </w:rPr>
  </w:style>
  <w:style w:type="character" w:customStyle="1" w:styleId="5yl5">
    <w:name w:val="_5yl5"/>
    <w:basedOn w:val="DefaultParagraphFont"/>
    <w:rsid w:val="00F755AC"/>
  </w:style>
  <w:style w:type="character" w:customStyle="1" w:styleId="tgc">
    <w:name w:val="_tgc"/>
    <w:basedOn w:val="DefaultParagraphFont"/>
    <w:rsid w:val="00F755AC"/>
  </w:style>
  <w:style w:type="character" w:customStyle="1" w:styleId="Date1">
    <w:name w:val="Date1"/>
    <w:basedOn w:val="DefaultParagraphFont"/>
    <w:rsid w:val="00F755AC"/>
  </w:style>
  <w:style w:type="character" w:customStyle="1" w:styleId="url">
    <w:name w:val="url"/>
    <w:basedOn w:val="DefaultParagraphFont"/>
    <w:rsid w:val="00F755AC"/>
  </w:style>
  <w:style w:type="paragraph" w:styleId="TOCHeading">
    <w:name w:val="TOC Heading"/>
    <w:basedOn w:val="Heading1"/>
    <w:next w:val="Normal"/>
    <w:uiPriority w:val="39"/>
    <w:unhideWhenUsed/>
    <w:qFormat/>
    <w:rsid w:val="00F755A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F755AC"/>
    <w:pPr>
      <w:spacing w:after="100" w:line="276" w:lineRule="auto"/>
    </w:pPr>
    <w:rPr>
      <w:rFonts w:ascii="Calibri" w:eastAsia="Calibri" w:hAnsi="Calibri"/>
      <w:sz w:val="22"/>
      <w:szCs w:val="22"/>
      <w:lang w:val="en-US"/>
    </w:rPr>
  </w:style>
  <w:style w:type="paragraph" w:styleId="TOC2">
    <w:name w:val="toc 2"/>
    <w:basedOn w:val="Normal"/>
    <w:next w:val="Normal"/>
    <w:autoRedefine/>
    <w:uiPriority w:val="39"/>
    <w:unhideWhenUsed/>
    <w:rsid w:val="00F755AC"/>
    <w:pPr>
      <w:tabs>
        <w:tab w:val="left" w:pos="900"/>
        <w:tab w:val="right" w:leader="dot" w:pos="9394"/>
      </w:tabs>
      <w:spacing w:after="100" w:line="480"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F755AC"/>
    <w:pPr>
      <w:spacing w:after="100" w:line="259" w:lineRule="auto"/>
      <w:ind w:left="440"/>
    </w:pPr>
    <w:rPr>
      <w:rFonts w:asciiTheme="minorHAnsi" w:eastAsiaTheme="minorEastAsia" w:hAnsiTheme="minorHAnsi"/>
      <w:sz w:val="22"/>
      <w:szCs w:val="22"/>
      <w:lang w:val="en-US"/>
    </w:rPr>
  </w:style>
  <w:style w:type="character" w:styleId="Strong">
    <w:name w:val="Strong"/>
    <w:basedOn w:val="DefaultParagraphFont"/>
    <w:uiPriority w:val="22"/>
    <w:qFormat/>
    <w:rsid w:val="00F755AC"/>
    <w:rPr>
      <w:b/>
      <w:bCs/>
    </w:rPr>
  </w:style>
  <w:style w:type="paragraph" w:styleId="NoSpacing">
    <w:name w:val="No Spacing"/>
    <w:uiPriority w:val="1"/>
    <w:qFormat/>
    <w:rsid w:val="00F755A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755AC"/>
    <w:rPr>
      <w:sz w:val="18"/>
      <w:szCs w:val="18"/>
    </w:rPr>
  </w:style>
  <w:style w:type="paragraph" w:styleId="CommentText">
    <w:name w:val="annotation text"/>
    <w:basedOn w:val="Normal"/>
    <w:link w:val="CommentTextChar"/>
    <w:uiPriority w:val="99"/>
    <w:semiHidden/>
    <w:unhideWhenUsed/>
    <w:rsid w:val="00F755AC"/>
    <w:pPr>
      <w:spacing w:after="160" w:line="259" w:lineRule="auto"/>
    </w:pPr>
    <w:rPr>
      <w:rFonts w:asciiTheme="minorHAnsi" w:eastAsiaTheme="minorEastAsia" w:hAnsiTheme="minorHAnsi" w:cstheme="minorBidi"/>
      <w:lang w:val="en-GB"/>
    </w:rPr>
  </w:style>
  <w:style w:type="character" w:customStyle="1" w:styleId="CommentTextChar">
    <w:name w:val="Comment Text Char"/>
    <w:basedOn w:val="DefaultParagraphFont"/>
    <w:link w:val="CommentText"/>
    <w:uiPriority w:val="99"/>
    <w:semiHidden/>
    <w:rsid w:val="00F755AC"/>
    <w:rPr>
      <w:rFonts w:eastAsiaTheme="minorEastAsia"/>
      <w:lang w:val="en-GB"/>
    </w:rPr>
  </w:style>
  <w:style w:type="paragraph" w:styleId="CommentSubject">
    <w:name w:val="annotation subject"/>
    <w:basedOn w:val="CommentText"/>
    <w:next w:val="CommentText"/>
    <w:link w:val="CommentSubjectChar"/>
    <w:uiPriority w:val="99"/>
    <w:semiHidden/>
    <w:unhideWhenUsed/>
    <w:rsid w:val="00F755AC"/>
    <w:rPr>
      <w:b/>
      <w:bCs/>
    </w:rPr>
  </w:style>
  <w:style w:type="character" w:customStyle="1" w:styleId="CommentSubjectChar">
    <w:name w:val="Comment Subject Char"/>
    <w:basedOn w:val="CommentTextChar"/>
    <w:link w:val="CommentSubject"/>
    <w:uiPriority w:val="99"/>
    <w:semiHidden/>
    <w:rsid w:val="00F755AC"/>
    <w:rPr>
      <w:rFonts w:eastAsiaTheme="minorEastAsia"/>
      <w:b/>
      <w:bCs/>
      <w:lang w:val="en-GB"/>
    </w:rPr>
  </w:style>
  <w:style w:type="character" w:customStyle="1" w:styleId="bolden1">
    <w:name w:val="bolden1"/>
    <w:basedOn w:val="DefaultParagraphFont"/>
    <w:rsid w:val="00F755AC"/>
  </w:style>
  <w:style w:type="character" w:customStyle="1" w:styleId="bolden2">
    <w:name w:val="bolden2"/>
    <w:basedOn w:val="DefaultParagraphFont"/>
    <w:rsid w:val="00F755AC"/>
  </w:style>
  <w:style w:type="character" w:customStyle="1" w:styleId="bolden3">
    <w:name w:val="bolden3"/>
    <w:basedOn w:val="DefaultParagraphFont"/>
    <w:rsid w:val="00F755AC"/>
  </w:style>
  <w:style w:type="character" w:customStyle="1" w:styleId="bolden8">
    <w:name w:val="bolden8"/>
    <w:basedOn w:val="DefaultParagraphFont"/>
    <w:rsid w:val="00F755AC"/>
  </w:style>
  <w:style w:type="character" w:customStyle="1" w:styleId="bolden9">
    <w:name w:val="bolden9"/>
    <w:basedOn w:val="DefaultParagraphFont"/>
    <w:rsid w:val="00F755AC"/>
  </w:style>
  <w:style w:type="character" w:customStyle="1" w:styleId="bolden10">
    <w:name w:val="bolden10"/>
    <w:basedOn w:val="DefaultParagraphFont"/>
    <w:rsid w:val="00F755AC"/>
  </w:style>
  <w:style w:type="paragraph" w:styleId="HTMLPreformatted">
    <w:name w:val="HTML Preformatted"/>
    <w:basedOn w:val="Normal"/>
    <w:link w:val="HTMLPreformattedChar"/>
    <w:uiPriority w:val="99"/>
    <w:unhideWhenUsed/>
    <w:rsid w:val="00F7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755AC"/>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F755AC"/>
    <w:rPr>
      <w:color w:val="605E5C"/>
      <w:shd w:val="clear" w:color="auto" w:fill="E1DFDD"/>
    </w:rPr>
  </w:style>
  <w:style w:type="character" w:customStyle="1" w:styleId="UnresolvedMention2">
    <w:name w:val="Unresolved Mention2"/>
    <w:basedOn w:val="DefaultParagraphFont"/>
    <w:uiPriority w:val="99"/>
    <w:semiHidden/>
    <w:unhideWhenUsed/>
    <w:rsid w:val="00F755AC"/>
    <w:rPr>
      <w:color w:val="605E5C"/>
      <w:shd w:val="clear" w:color="auto" w:fill="E1DFDD"/>
    </w:rPr>
  </w:style>
  <w:style w:type="paragraph" w:customStyle="1" w:styleId="yiv9924242920msonormal">
    <w:name w:val="yiv9924242920msonormal"/>
    <w:basedOn w:val="Normal"/>
    <w:rsid w:val="00AC6DB6"/>
    <w:pPr>
      <w:spacing w:before="100" w:beforeAutospacing="1" w:after="100" w:afterAutospacing="1"/>
    </w:pPr>
    <w:rPr>
      <w:lang w:val="en-US"/>
    </w:rPr>
  </w:style>
  <w:style w:type="character" w:customStyle="1" w:styleId="UnresolvedMention3">
    <w:name w:val="Unresolved Mention3"/>
    <w:basedOn w:val="DefaultParagraphFont"/>
    <w:uiPriority w:val="99"/>
    <w:semiHidden/>
    <w:unhideWhenUsed/>
    <w:rsid w:val="00263887"/>
    <w:rPr>
      <w:color w:val="605E5C"/>
      <w:shd w:val="clear" w:color="auto" w:fill="E1DFDD"/>
    </w:rPr>
  </w:style>
  <w:style w:type="paragraph" w:customStyle="1" w:styleId="HEADINGS">
    <w:name w:val="HEADINGS"/>
    <w:basedOn w:val="Normal"/>
    <w:link w:val="HEADINGSChar"/>
    <w:rsid w:val="005F7C00"/>
    <w:pPr>
      <w:spacing w:line="360" w:lineRule="auto"/>
    </w:pPr>
    <w:rPr>
      <w:rFonts w:ascii="Source Sans Pro" w:eastAsia="Calibri" w:hAnsi="Source Sans Pro"/>
      <w:lang w:val="en-GB"/>
    </w:rPr>
  </w:style>
  <w:style w:type="character" w:customStyle="1" w:styleId="HEADINGSChar">
    <w:name w:val="HEADINGS Char"/>
    <w:basedOn w:val="DefaultParagraphFont"/>
    <w:link w:val="HEADINGS"/>
    <w:rsid w:val="005F7C00"/>
    <w:rPr>
      <w:rFonts w:ascii="Source Sans Pro" w:eastAsia="Calibri" w:hAnsi="Source Sans Pro" w:cs="Times New Roman"/>
      <w:sz w:val="24"/>
      <w:szCs w:val="24"/>
      <w:lang w:val="en-GB"/>
    </w:rPr>
  </w:style>
  <w:style w:type="character" w:styleId="PageNumber">
    <w:name w:val="page number"/>
    <w:basedOn w:val="DefaultParagraphFont"/>
    <w:uiPriority w:val="99"/>
    <w:semiHidden/>
    <w:unhideWhenUsed/>
    <w:rsid w:val="00EA5474"/>
  </w:style>
  <w:style w:type="paragraph" w:customStyle="1" w:styleId="Els-Author">
    <w:name w:val="Els-Author"/>
    <w:next w:val="Body"/>
    <w:rsid w:val="004949EF"/>
    <w:pPr>
      <w:keepNext/>
      <w:pBdr>
        <w:top w:val="nil"/>
        <w:left w:val="nil"/>
        <w:bottom w:val="nil"/>
        <w:right w:val="nil"/>
        <w:between w:val="nil"/>
        <w:bar w:val="nil"/>
      </w:pBdr>
      <w:suppressAutoHyphens/>
      <w:spacing w:after="0" w:line="300" w:lineRule="exact"/>
      <w:jc w:val="center"/>
    </w:pPr>
    <w:rPr>
      <w:rFonts w:ascii="Times New Roman" w:eastAsia="Arial Unicode MS" w:hAnsi="Times New Roman" w:cs="Arial Unicode MS"/>
      <w:color w:val="000000"/>
      <w:sz w:val="26"/>
      <w:szCs w:val="26"/>
      <w:u w:color="000000"/>
      <w:bdr w:val="nil"/>
    </w:rPr>
  </w:style>
  <w:style w:type="paragraph" w:customStyle="1" w:styleId="Body">
    <w:name w:val="Body"/>
    <w:rsid w:val="004949EF"/>
    <w:pPr>
      <w:pBdr>
        <w:top w:val="nil"/>
        <w:left w:val="nil"/>
        <w:bottom w:val="nil"/>
        <w:right w:val="nil"/>
        <w:between w:val="nil"/>
        <w:bar w:val="nil"/>
      </w:pBdr>
      <w:spacing w:after="0" w:line="276" w:lineRule="auto"/>
    </w:pPr>
    <w:rPr>
      <w:rFonts w:ascii="Calibri" w:eastAsia="Calibri" w:hAnsi="Calibri" w:cs="Calibri"/>
      <w:color w:val="000000"/>
      <w:u w:color="000000"/>
      <w:bdr w:val="nil"/>
    </w:rPr>
  </w:style>
  <w:style w:type="paragraph" w:customStyle="1" w:styleId="HeaderFooter">
    <w:name w:val="Header &amp; Footer"/>
    <w:rsid w:val="00E52F2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ID"/>
    </w:rPr>
  </w:style>
  <w:style w:type="paragraph" w:customStyle="1" w:styleId="Els-Abstract-text">
    <w:name w:val="Els-Abstract-text"/>
    <w:next w:val="Body"/>
    <w:rsid w:val="00E52F25"/>
    <w:pPr>
      <w:pBdr>
        <w:top w:val="nil"/>
        <w:left w:val="nil"/>
        <w:bottom w:val="nil"/>
        <w:right w:val="nil"/>
        <w:between w:val="nil"/>
        <w:bar w:val="nil"/>
      </w:pBdr>
      <w:spacing w:after="0" w:line="220" w:lineRule="exact"/>
      <w:jc w:val="both"/>
    </w:pPr>
    <w:rPr>
      <w:rFonts w:ascii="Times New Roman" w:eastAsia="Arial Unicode MS" w:hAnsi="Times New Roman" w:cs="Arial Unicode MS"/>
      <w:color w:val="000000"/>
      <w:sz w:val="18"/>
      <w:szCs w:val="18"/>
      <w:u w:color="000000"/>
      <w:bdr w:val="nil"/>
    </w:rPr>
  </w:style>
  <w:style w:type="numbering" w:customStyle="1" w:styleId="ImportedStyle1">
    <w:name w:val="Imported Style 1"/>
    <w:rsid w:val="00E52F25"/>
    <w:pPr>
      <w:numPr>
        <w:numId w:val="1"/>
      </w:numPr>
    </w:pPr>
  </w:style>
  <w:style w:type="character" w:customStyle="1" w:styleId="Hyperlink0">
    <w:name w:val="Hyperlink.0"/>
    <w:basedOn w:val="Hyperlink"/>
    <w:rsid w:val="00E52F25"/>
    <w:rPr>
      <w:color w:val="0563C1"/>
      <w:u w:val="single" w:color="0563C1"/>
    </w:rPr>
  </w:style>
  <w:style w:type="paragraph" w:customStyle="1" w:styleId="Default">
    <w:name w:val="Default"/>
    <w:rsid w:val="00E52F25"/>
    <w:pPr>
      <w:autoSpaceDE w:val="0"/>
      <w:autoSpaceDN w:val="0"/>
      <w:adjustRightInd w:val="0"/>
      <w:spacing w:after="0" w:line="240" w:lineRule="auto"/>
    </w:pPr>
    <w:rPr>
      <w:rFonts w:ascii="Courier New" w:hAnsi="Courier New" w:cs="Courier New"/>
      <w:color w:val="000000"/>
      <w:sz w:val="24"/>
      <w:szCs w:val="24"/>
      <w:lang w:val="id-ID"/>
    </w:rPr>
  </w:style>
  <w:style w:type="paragraph" w:styleId="Caption">
    <w:name w:val="caption"/>
    <w:basedOn w:val="Normal"/>
    <w:next w:val="Normal"/>
    <w:uiPriority w:val="35"/>
    <w:unhideWhenUsed/>
    <w:qFormat/>
    <w:rsid w:val="00E52F25"/>
    <w:pPr>
      <w:pBdr>
        <w:top w:val="nil"/>
        <w:left w:val="nil"/>
        <w:bottom w:val="nil"/>
        <w:right w:val="nil"/>
        <w:between w:val="nil"/>
        <w:bar w:val="nil"/>
      </w:pBdr>
      <w:spacing w:after="200"/>
    </w:pPr>
    <w:rPr>
      <w:rFonts w:eastAsia="Arial Unicode MS"/>
      <w:b/>
      <w:bCs/>
      <w:color w:val="4472C4" w:themeColor="accent1"/>
      <w:sz w:val="18"/>
      <w:szCs w:val="18"/>
      <w:bdr w:val="nil"/>
      <w:lang w:val="en-US"/>
    </w:rPr>
  </w:style>
  <w:style w:type="character" w:customStyle="1" w:styleId="Heading6Char">
    <w:name w:val="Heading 6 Char"/>
    <w:basedOn w:val="DefaultParagraphFont"/>
    <w:link w:val="Heading6"/>
    <w:rsid w:val="007E5B2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E5B2F"/>
    <w:rPr>
      <w:rFonts w:asciiTheme="majorHAnsi" w:eastAsiaTheme="majorEastAsia" w:hAnsiTheme="majorHAnsi" w:cstheme="majorBidi"/>
      <w:b/>
      <w:bCs/>
      <w:i/>
      <w:iCs/>
      <w:color w:val="4472C4" w:themeColor="accent1"/>
    </w:rPr>
  </w:style>
  <w:style w:type="character" w:customStyle="1" w:styleId="tlid-translation">
    <w:name w:val="tlid-translation"/>
    <w:basedOn w:val="DefaultParagraphFont"/>
    <w:rsid w:val="007E5B2F"/>
  </w:style>
  <w:style w:type="character" w:customStyle="1" w:styleId="fontstyle01">
    <w:name w:val="fontstyle01"/>
    <w:basedOn w:val="DefaultParagraphFont"/>
    <w:rsid w:val="007E5B2F"/>
    <w:rPr>
      <w:rFonts w:ascii="BMitra" w:hAnsi="BMitra" w:hint="default"/>
      <w:b w:val="0"/>
      <w:bCs w:val="0"/>
      <w:i w:val="0"/>
      <w:iCs w:val="0"/>
      <w:color w:val="000000"/>
      <w:sz w:val="22"/>
      <w:szCs w:val="22"/>
    </w:rPr>
  </w:style>
  <w:style w:type="character" w:customStyle="1" w:styleId="authorsname">
    <w:name w:val="authors__name"/>
    <w:rsid w:val="007E5B2F"/>
  </w:style>
  <w:style w:type="character" w:customStyle="1" w:styleId="text-uppercase">
    <w:name w:val="text-uppercase"/>
    <w:rsid w:val="007E5B2F"/>
  </w:style>
  <w:style w:type="character" w:customStyle="1" w:styleId="author-name">
    <w:name w:val="author-name"/>
    <w:rsid w:val="007E5B2F"/>
  </w:style>
  <w:style w:type="character" w:customStyle="1" w:styleId="Subtitle1">
    <w:name w:val="Subtitle1"/>
    <w:rsid w:val="007E5B2F"/>
  </w:style>
  <w:style w:type="character" w:customStyle="1" w:styleId="article-classifiergap">
    <w:name w:val="article-classifier__gap"/>
    <w:rsid w:val="007E5B2F"/>
  </w:style>
  <w:style w:type="character" w:customStyle="1" w:styleId="names">
    <w:name w:val="names"/>
    <w:rsid w:val="007E5B2F"/>
  </w:style>
  <w:style w:type="character" w:customStyle="1" w:styleId="ezstring-field">
    <w:name w:val="ezstring-field"/>
    <w:rsid w:val="007E5B2F"/>
  </w:style>
  <w:style w:type="character" w:customStyle="1" w:styleId="c-byline">
    <w:name w:val="c-byline"/>
    <w:rsid w:val="007E5B2F"/>
  </w:style>
  <w:style w:type="character" w:customStyle="1" w:styleId="bibliographic-informationvalue">
    <w:name w:val="bibliographic-information__value"/>
    <w:rsid w:val="007E5B2F"/>
  </w:style>
  <w:style w:type="character" w:customStyle="1" w:styleId="a-size-extra-large">
    <w:name w:val="a-size-extra-large"/>
    <w:basedOn w:val="DefaultParagraphFont"/>
    <w:rsid w:val="007E5B2F"/>
  </w:style>
  <w:style w:type="character" w:customStyle="1" w:styleId="fn">
    <w:name w:val="fn"/>
    <w:basedOn w:val="DefaultParagraphFont"/>
    <w:rsid w:val="007E5B2F"/>
  </w:style>
  <w:style w:type="character" w:customStyle="1" w:styleId="metaauthor">
    <w:name w:val="meta__author"/>
    <w:basedOn w:val="DefaultParagraphFont"/>
    <w:rsid w:val="007E5B2F"/>
  </w:style>
  <w:style w:type="character" w:customStyle="1" w:styleId="contrib">
    <w:name w:val="contrib"/>
    <w:basedOn w:val="DefaultParagraphFont"/>
    <w:rsid w:val="007E5B2F"/>
  </w:style>
  <w:style w:type="character" w:customStyle="1" w:styleId="nova-v-person-inline-itemfullname">
    <w:name w:val="nova-v-person-inline-item__fullname"/>
    <w:basedOn w:val="DefaultParagraphFont"/>
    <w:rsid w:val="007E5B2F"/>
  </w:style>
  <w:style w:type="character" w:customStyle="1" w:styleId="text">
    <w:name w:val="text"/>
    <w:basedOn w:val="DefaultParagraphFont"/>
    <w:rsid w:val="007E5B2F"/>
  </w:style>
  <w:style w:type="character" w:customStyle="1" w:styleId="title-text">
    <w:name w:val="title-text"/>
    <w:basedOn w:val="DefaultParagraphFont"/>
    <w:rsid w:val="007E5B2F"/>
  </w:style>
  <w:style w:type="character" w:customStyle="1" w:styleId="d-inline-block">
    <w:name w:val="d-inline-block"/>
    <w:basedOn w:val="DefaultParagraphFont"/>
    <w:rsid w:val="007E5B2F"/>
  </w:style>
  <w:style w:type="character" w:customStyle="1" w:styleId="comp">
    <w:name w:val="comp"/>
    <w:basedOn w:val="DefaultParagraphFont"/>
    <w:rsid w:val="007E5B2F"/>
  </w:style>
  <w:style w:type="paragraph" w:styleId="Revision">
    <w:name w:val="Revision"/>
    <w:hidden/>
    <w:uiPriority w:val="99"/>
    <w:semiHidden/>
    <w:rsid w:val="007E5B2F"/>
    <w:pPr>
      <w:spacing w:after="0" w:line="240" w:lineRule="auto"/>
    </w:pPr>
  </w:style>
  <w:style w:type="character" w:customStyle="1" w:styleId="articlebreadcrumbs">
    <w:name w:val="article__breadcrumbs"/>
    <w:basedOn w:val="DefaultParagraphFont"/>
    <w:rsid w:val="007E5B2F"/>
  </w:style>
  <w:style w:type="character" w:customStyle="1" w:styleId="epub-sectionitem">
    <w:name w:val="epub-section__item"/>
    <w:basedOn w:val="DefaultParagraphFont"/>
    <w:rsid w:val="007E5B2F"/>
  </w:style>
  <w:style w:type="character" w:styleId="HTMLCite">
    <w:name w:val="HTML Cite"/>
    <w:basedOn w:val="DefaultParagraphFont"/>
    <w:uiPriority w:val="99"/>
    <w:semiHidden/>
    <w:unhideWhenUsed/>
    <w:rsid w:val="007E5B2F"/>
    <w:rPr>
      <w:i/>
      <w:iCs/>
    </w:rPr>
  </w:style>
  <w:style w:type="character" w:customStyle="1" w:styleId="UnresolvedMention4">
    <w:name w:val="Unresolved Mention4"/>
    <w:basedOn w:val="DefaultParagraphFont"/>
    <w:uiPriority w:val="99"/>
    <w:semiHidden/>
    <w:unhideWhenUsed/>
    <w:rsid w:val="007E5B2F"/>
    <w:rPr>
      <w:color w:val="605E5C"/>
      <w:shd w:val="clear" w:color="auto" w:fill="E1DFDD"/>
    </w:rPr>
  </w:style>
  <w:style w:type="table" w:customStyle="1" w:styleId="LightShading1">
    <w:name w:val="Light Shading1"/>
    <w:basedOn w:val="TableNormal"/>
    <w:next w:val="LightShading"/>
    <w:uiPriority w:val="60"/>
    <w:rsid w:val="006079D5"/>
    <w:pPr>
      <w:spacing w:after="0" w:line="240" w:lineRule="auto"/>
    </w:pPr>
    <w:rPr>
      <w:rFonts w:eastAsia="Calibri"/>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6079D5"/>
    <w:pPr>
      <w:pBdr>
        <w:top w:val="nil"/>
        <w:left w:val="nil"/>
        <w:bottom w:val="nil"/>
        <w:right w:val="nil"/>
        <w:between w:val="nil"/>
        <w:bar w:val="nil"/>
      </w:pBdr>
      <w:spacing w:after="0" w:line="240" w:lineRule="auto"/>
    </w:pPr>
    <w:rPr>
      <w:rFonts w:ascii="Times New Roman" w:eastAsia="Arial Unicode MS" w:hAnsi="Times New Roman" w:cs="Times New Roman"/>
      <w:color w:val="000000" w:themeColor="text1" w:themeShade="BF"/>
      <w:sz w:val="20"/>
      <w:szCs w:val="20"/>
      <w:bdr w:val="nil"/>
      <w:lang w:val="en-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5">
    <w:name w:val="Unresolved Mention5"/>
    <w:basedOn w:val="DefaultParagraphFont"/>
    <w:uiPriority w:val="99"/>
    <w:semiHidden/>
    <w:unhideWhenUsed/>
    <w:rsid w:val="00F9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salaamgateway.com/specialcoverage/SGIE20-21" TargetMode="External"/><Relationship Id="rId39" Type="http://schemas.openxmlformats.org/officeDocument/2006/relationships/hyperlink" Target="https://doi.org/10.1016/j.cities.2011.03.003" TargetMode="External"/><Relationship Id="rId21" Type="http://schemas.openxmlformats.org/officeDocument/2006/relationships/image" Target="media/image9.png"/><Relationship Id="rId34" Type="http://schemas.openxmlformats.org/officeDocument/2006/relationships/hyperlink" Target="https://archive.unu.edu/unupress/unupbooks/uu11ee/uu11ee00.htm" TargetMode="External"/><Relationship Id="rId42" Type="http://schemas.openxmlformats.org/officeDocument/2006/relationships/hyperlink" Target="https://doi.org/https://doi.org/10.1108/17590831111139893" TargetMode="External"/><Relationship Id="rId47" Type="http://schemas.openxmlformats.org/officeDocument/2006/relationships/hyperlink" Target="https://data.worldbank.org/indicator/"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doi.org/10.1111/apel.12235" TargetMode="External"/><Relationship Id="rId11" Type="http://schemas.openxmlformats.org/officeDocument/2006/relationships/footer" Target="footer1.xml"/><Relationship Id="rId24" Type="http://schemas.openxmlformats.org/officeDocument/2006/relationships/hyperlink" Target="https://www.singstat.gov.sg/" TargetMode="External"/><Relationship Id="rId32" Type="http://schemas.openxmlformats.org/officeDocument/2006/relationships/hyperlink" Target="https://www.jetro.go.jp/world/search/cost_result?countryId%5B%5D=600&amp;countryId%5B%5D=650&amp;countryId%5B%5D=700" TargetMode="External"/><Relationship Id="rId37" Type="http://schemas.openxmlformats.org/officeDocument/2006/relationships/hyperlink" Target="https://doi.org/10.1007/BF00807948" TargetMode="External"/><Relationship Id="rId40" Type="http://schemas.openxmlformats.org/officeDocument/2006/relationships/hyperlink" Target="https://www.salaamgateway.com/story/halal-food-industry-2019-20-momentus-period-with-launch-of-many-new-national-halal-strategies" TargetMode="External"/><Relationship Id="rId45" Type="http://schemas.openxmlformats.org/officeDocument/2006/relationships/hyperlink" Target="https://doi.org/10.1007/s10708-015-9692-9"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doi.org/10.1007/978-3-030-17767-6" TargetMode="External"/><Relationship Id="rId28" Type="http://schemas.openxmlformats.org/officeDocument/2006/relationships/hyperlink" Target="https://eresources.nlb.gov.sg/history/events/bd4d0374-63ae-49fe-95c8-2210b3b0ac59" TargetMode="External"/><Relationship Id="rId36" Type="http://schemas.openxmlformats.org/officeDocument/2006/relationships/hyperlink" Target="https://nswi.bkpm.go.id/data_statistik" TargetMode="External"/><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hyperlink" Target="https://www.jetro.go.jp/world/search/cost_result?countryId%5B%5D=600&amp;countryId%5B%5D=650&amp;countryId%5B%5D=700" TargetMode="External"/><Relationship Id="rId44" Type="http://schemas.openxmlformats.org/officeDocument/2006/relationships/hyperlink" Target="http://hdl.handle.net/11540/67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gallantventure.com/" TargetMode="External"/><Relationship Id="rId30" Type="http://schemas.openxmlformats.org/officeDocument/2006/relationships/hyperlink" Target="https://www.google.com/url?sa=t&amp;rct=j&amp;q=&amp;esrc=s&amp;source=web&amp;cd=&amp;cad=rja&amp;uact=8&amp;ved=2ahUKEwj-nIuij4v1AhXdxjgGHYhqCV8QFnoECAYQAQ&amp;url=https%3A%2F%2Fiskandarmalaysia.com.my%2FSCIM%2Fdownload%2Fimsc_booklet.pdf&amp;usg=AOvVaw2ZK7pqmJQTI6xmeF7mn3Uq" TargetMode="External"/><Relationship Id="rId35" Type="http://schemas.openxmlformats.org/officeDocument/2006/relationships/hyperlink" Target="https://doi.org/10.1355/AE9-1B" TargetMode="External"/><Relationship Id="rId43" Type="http://schemas.openxmlformats.org/officeDocument/2006/relationships/hyperlink" Target="https://unctadstat.unctad.org/wds/TableViewer/dimView.aspx"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s://www.salaamgateway.com/specialcoverage/SGIE19-20" TargetMode="External"/><Relationship Id="rId33" Type="http://schemas.openxmlformats.org/officeDocument/2006/relationships/hyperlink" Target="https://www.taiwannews.com.tw/en/news/3151971" TargetMode="External"/><Relationship Id="rId38" Type="http://schemas.openxmlformats.org/officeDocument/2006/relationships/hyperlink" Target="https://www.pewforum.org/2015/04/02/religious-projections-2010-2050/%0A" TargetMode="External"/><Relationship Id="rId46" Type="http://schemas.openxmlformats.org/officeDocument/2006/relationships/hyperlink" Target="https://doi.org/https://doi.org/10.1016/j.infoecopol.2013.08.002" TargetMode="External"/><Relationship Id="rId20" Type="http://schemas.openxmlformats.org/officeDocument/2006/relationships/image" Target="media/image8.png"/><Relationship Id="rId41" Type="http://schemas.openxmlformats.org/officeDocument/2006/relationships/hyperlink" Target="https://www.salaamgateway.com/reports/report-state-of-the-global-islamic-economy-20181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61CBAAE9F44AA4B5603F7A797DAD15"/>
        <w:category>
          <w:name w:val="General"/>
          <w:gallery w:val="placeholder"/>
        </w:category>
        <w:types>
          <w:type w:val="bbPlcHdr"/>
        </w:types>
        <w:behaviors>
          <w:behavior w:val="content"/>
        </w:behaviors>
        <w:guid w:val="{AAF5A506-065F-48C1-A195-C9E30254574E}"/>
      </w:docPartPr>
      <w:docPartBody>
        <w:p w:rsidR="0029133B" w:rsidRDefault="00A86EE0" w:rsidP="00A03F66">
          <w:pPr>
            <w:pStyle w:val="9E61CBAAE9F44AA4B5603F7A797DAD15"/>
          </w:pPr>
          <w:r>
            <w:rPr>
              <w:color w:val="7F7F7F" w:themeColor="text1" w:themeTint="80"/>
            </w:rPr>
            <w:t>[Document title]</w:t>
          </w:r>
        </w:p>
      </w:docPartBody>
    </w:docPart>
    <w:docPart>
      <w:docPartPr>
        <w:name w:val="5280E01843134AB4B2DAD5A61D24D611"/>
        <w:category>
          <w:name w:val="General"/>
          <w:gallery w:val="placeholder"/>
        </w:category>
        <w:types>
          <w:type w:val="bbPlcHdr"/>
        </w:types>
        <w:behaviors>
          <w:behavior w:val="content"/>
        </w:behaviors>
        <w:guid w:val="{8DD9E9A1-EFD6-4590-9B38-96117F2DA16C}"/>
      </w:docPartPr>
      <w:docPartBody>
        <w:p w:rsidR="0029133B" w:rsidRDefault="00A86EE0" w:rsidP="00A03F66">
          <w:pPr>
            <w:pStyle w:val="5280E01843134AB4B2DAD5A61D24D611"/>
          </w:pPr>
          <w:r>
            <w:rPr>
              <w:rFonts w:asciiTheme="majorHAnsi" w:eastAsiaTheme="majorEastAsia" w:hAnsiTheme="majorHAnsi" w:cstheme="majorBidi"/>
              <w:color w:val="4472C4" w:themeColor="accent1"/>
              <w:sz w:val="27"/>
              <w:szCs w:val="27"/>
            </w:rPr>
            <w:t>[Date]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B8F" w:rsidRDefault="00934B8F">
      <w:pPr>
        <w:spacing w:after="0" w:line="240" w:lineRule="auto"/>
      </w:pPr>
      <w:r>
        <w:separator/>
      </w:r>
    </w:p>
  </w:endnote>
  <w:endnote w:type="continuationSeparator" w:id="0">
    <w:p w:rsidR="00934B8F" w:rsidRDefault="00934B8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Helvetica Neue">
    <w:charset w:val="00"/>
    <w:family w:val="auto"/>
    <w:pitch w:val="variable"/>
    <w:sig w:usb0="E50002FF" w:usb1="500079DB" w:usb2="00000010" w:usb3="00000000" w:csb0="00000001" w:csb1="00000000"/>
  </w:font>
  <w:font w:name="BMitra">
    <w:altName w:val="Times New Roman"/>
    <w:panose1 w:val="00000000000000000000"/>
    <w:charset w:val="00"/>
    <w:family w:val="roman"/>
    <w:notTrueType/>
    <w:pitch w:val="default"/>
  </w:font>
  <w:font w:name="Lato">
    <w:altName w:val="Segoe UI"/>
    <w:charset w:val="4D"/>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hangralaW90-Regular">
    <w:altName w:val="Calibri"/>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B8F" w:rsidRDefault="00934B8F">
      <w:pPr>
        <w:spacing w:after="0" w:line="240" w:lineRule="auto"/>
      </w:pPr>
      <w:r>
        <w:separator/>
      </w:r>
    </w:p>
  </w:footnote>
  <w:footnote w:type="continuationSeparator" w:id="0">
    <w:p w:rsidR="00934B8F" w:rsidRDefault="00934B8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66"/>
    <w:rsid w:val="00062A84"/>
    <w:rsid w:val="00067DF4"/>
    <w:rsid w:val="000B4819"/>
    <w:rsid w:val="001211FC"/>
    <w:rsid w:val="001805F1"/>
    <w:rsid w:val="00184990"/>
    <w:rsid w:val="00186B5F"/>
    <w:rsid w:val="0029133B"/>
    <w:rsid w:val="00316D59"/>
    <w:rsid w:val="00354A1E"/>
    <w:rsid w:val="00361B91"/>
    <w:rsid w:val="004236EB"/>
    <w:rsid w:val="00575B75"/>
    <w:rsid w:val="006C7B77"/>
    <w:rsid w:val="00700743"/>
    <w:rsid w:val="00730944"/>
    <w:rsid w:val="00813007"/>
    <w:rsid w:val="0083316D"/>
    <w:rsid w:val="008B24DC"/>
    <w:rsid w:val="008B6F58"/>
    <w:rsid w:val="008F5AD3"/>
    <w:rsid w:val="00934B8F"/>
    <w:rsid w:val="009370C0"/>
    <w:rsid w:val="00951B7E"/>
    <w:rsid w:val="00962037"/>
    <w:rsid w:val="009A6582"/>
    <w:rsid w:val="009C74A4"/>
    <w:rsid w:val="00A03F66"/>
    <w:rsid w:val="00A060B4"/>
    <w:rsid w:val="00A83D74"/>
    <w:rsid w:val="00A86EE0"/>
    <w:rsid w:val="00AF356E"/>
    <w:rsid w:val="00C10826"/>
    <w:rsid w:val="00C622CB"/>
    <w:rsid w:val="00CE6C19"/>
    <w:rsid w:val="00CF1577"/>
    <w:rsid w:val="00D06288"/>
    <w:rsid w:val="00D06E7D"/>
    <w:rsid w:val="00D91523"/>
    <w:rsid w:val="00E27E98"/>
    <w:rsid w:val="00EB4AEF"/>
    <w:rsid w:val="00ED1BB4"/>
    <w:rsid w:val="00FC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1CBAAE9F44AA4B5603F7A797DAD15">
    <w:name w:val="9E61CBAAE9F44AA4B5603F7A797DAD15"/>
    <w:rsid w:val="00A03F66"/>
  </w:style>
  <w:style w:type="paragraph" w:customStyle="1" w:styleId="E31FB61005224E5093DC0E29BFCB4B08">
    <w:name w:val="E31FB61005224E5093DC0E29BFCB4B08"/>
    <w:rsid w:val="00A03F66"/>
  </w:style>
  <w:style w:type="paragraph" w:customStyle="1" w:styleId="5280E01843134AB4B2DAD5A61D24D611">
    <w:name w:val="5280E01843134AB4B2DAD5A61D24D611"/>
    <w:rsid w:val="00A03F66"/>
  </w:style>
  <w:style w:type="paragraph" w:customStyle="1" w:styleId="3CF28D735CC6413C931A12021BD2957F">
    <w:name w:val="3CF28D735CC6413C931A12021BD2957F"/>
    <w:rsid w:val="00A03F66"/>
  </w:style>
  <w:style w:type="character" w:styleId="PlaceholderText">
    <w:name w:val="Placeholder Text"/>
    <w:basedOn w:val="DefaultParagraphFont"/>
    <w:uiPriority w:val="99"/>
    <w:semiHidden/>
    <w:rsid w:val="00A03F66"/>
    <w:rPr>
      <w:color w:val="808080"/>
    </w:rPr>
  </w:style>
  <w:style w:type="paragraph" w:customStyle="1" w:styleId="EFFF1F40AAC94F5D9887C35B36C52ED8">
    <w:name w:val="EFFF1F40AAC94F5D9887C35B36C52ED8"/>
    <w:rsid w:val="00A03F66"/>
  </w:style>
  <w:style w:type="paragraph" w:customStyle="1" w:styleId="34B045A46BC84FA78F84D590D10EBBD3">
    <w:name w:val="34B045A46BC84FA78F84D590D10EBBD3"/>
    <w:rsid w:val="00A03F66"/>
  </w:style>
  <w:style w:type="paragraph" w:customStyle="1" w:styleId="3D519DA5ECC24743AAA17189076A9F26">
    <w:name w:val="3D519DA5ECC24743AAA17189076A9F26"/>
    <w:rsid w:val="00A0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IKAT, 5 (2),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Pat11</b:Tag>
    <b:SourceType>JournalArticle</b:SourceType>
    <b:Guid>{76681AF3-66F7-4671-BBF4-E9F9877B5E90}</b:Guid>
    <b:Title>The Ethics of Humanitarian Intervention in Libya</b:Title>
    <b:Year>2011</b:Year>
    <b:Author>
      <b:Author>
        <b:NameList>
          <b:Person>
            <b:Last>Pattison</b:Last>
            <b:First>James</b:First>
          </b:Person>
        </b:NameList>
      </b:Author>
    </b:Author>
    <b:JournalName>Ethics &amp; International Affairs, Vol. 25, No. 3</b:JournalName>
    <b:Pages>271-277</b:Pages>
    <b:RefOrder>2</b:RefOrder>
  </b:Source>
  <b:Source>
    <b:Tag>Dav12</b:Tag>
    <b:SourceType>JournalArticle</b:SourceType>
    <b:Guid>{720105B1-2442-4F01-8C36-4A95F69B82A8}</b:Guid>
    <b:Author>
      <b:Author>
        <b:NameList>
          <b:Person>
            <b:Last>Capie</b:Last>
            <b:First>David</b:First>
          </b:Person>
        </b:NameList>
      </b:Author>
    </b:Author>
    <b:Title>The responsibility to Protect Norm in Southeast Asia: Framing Resistance and the Localization Myth</b:Title>
    <b:JournalName>The Pacific Review, Vol. 25 No. 1</b:JournalName>
    <b:Year>2012</b:Year>
    <b:RefOrder>4</b:RefOrder>
  </b:Source>
  <b:Source>
    <b:Tag>Har12</b:Tag>
    <b:SourceType>JournalArticle</b:SourceType>
    <b:Guid>{80982654-3A85-44A2-A45B-A96179FF67F1}</b:Guid>
    <b:Author>
      <b:Author>
        <b:NameList>
          <b:Person>
            <b:Last>Kraft</b:Last>
            <b:First>Harman</b:First>
          </b:Person>
        </b:NameList>
      </b:Author>
    </b:Author>
    <b:Title>R2P by Increments: the AICHR and Localizing the Responsibility to Protect in Southeast Asia</b:Title>
    <b:JournalName>The Pacific Review, Vol. 25 No. 1</b:JournalName>
    <b:Year>2012</b:Year>
    <b:RefOrder>5</b:RefOrder>
  </b:Source>
  <b:Source>
    <b:Tag>Ale11</b:Tag>
    <b:SourceType>JournalArticle</b:SourceType>
    <b:Guid>{C39844A1-BA77-415B-8DBC-46C840DD1A4E}</b:Guid>
    <b:Author>
      <b:Author>
        <b:NameList>
          <b:Person>
            <b:Last>Bellamy</b:Last>
            <b:First>Alex</b:First>
          </b:Person>
          <b:Person>
            <b:Last>Drummon</b:Last>
            <b:First>Catherine</b:First>
          </b:Person>
        </b:NameList>
      </b:Author>
    </b:Author>
    <b:Title>The Responsibility to Protect in Southeast Asia: Between Non-Intervention and Sovereignty as Responsibility</b:Title>
    <b:JournalName>The Pacific Review, Vol. 24, No. 2</b:JournalName>
    <b:Year>2011</b:Year>
    <b:Pages>179-200</b:Pages>
    <b:RefOrder>6</b:RefOrder>
  </b:Source>
  <b:Source>
    <b:Tag>Eva08</b:Tag>
    <b:SourceType>Book</b:SourceType>
    <b:Guid>{177484E7-605F-4E9F-9C39-796261176737}</b:Guid>
    <b:Author>
      <b:Author>
        <b:NameList>
          <b:Person>
            <b:Last>Evans</b:Last>
            <b:First>Gareth</b:First>
          </b:Person>
        </b:NameList>
      </b:Author>
    </b:Author>
    <b:Title>The Responsibility to Protect: Ending Mass Atrocity Crimes Once and for All</b:Title>
    <b:Year>2008</b:Year>
    <b:City>Washington DC</b:City>
    <b:Publisher>Brookings Institution Press</b:Publisher>
    <b:RefOrder>7</b:RefOrder>
  </b:Source>
  <b:Source>
    <b:Tag>Muh16</b:Tag>
    <b:SourceType>JournalArticle</b:SourceType>
    <b:Guid>{9156A319-F7D9-479C-822A-329728475611}</b:Guid>
    <b:Author>
      <b:Author>
        <b:NameList>
          <b:Person>
            <b:Last>Rum</b:Last>
            <b:First>Muhammad</b:First>
          </b:Person>
        </b:NameList>
      </b:Author>
    </b:Author>
    <b:Title>The Case of Regional Disaster Management Cooperation in ASEAN: A Constructivist Approach to Understanding How International Norms Travel</b:Title>
    <b:Year>2016</b:Year>
    <b:JournalName>Southeast Asian Studies, Vol.5, No. 3</b:JournalName>
    <b:Pages>491-514</b:Pages>
    <b:RefOrder>8</b:RefOrder>
  </b:Source>
  <b:Source>
    <b:Tag>Ale10</b:Tag>
    <b:SourceType>JournalArticle</b:SourceType>
    <b:Guid>{2600B3CB-174B-4136-9242-387909D1F555}</b:Guid>
    <b:Title>The Responsibility to Protect in Southeast Asia: Can ASEAN Reconcile Humanitarianism and Sovereignty?</b:Title>
    <b:Year>2010</b:Year>
    <b:Author>
      <b:Author>
        <b:NameList>
          <b:Person>
            <b:Last>Belammy</b:Last>
            <b:First>Alex</b:First>
          </b:Person>
          <b:Person>
            <b:Last>Beeson</b:Last>
            <b:First>Mark</b:First>
          </b:Person>
        </b:NameList>
      </b:Author>
    </b:Author>
    <b:JournalName>Asian Security, Vol. 16, No. 3</b:JournalName>
    <b:RefOrder>9</b:RefOrder>
  </b:Source>
  <b:Source>
    <b:Tag>Keo12</b:Tag>
    <b:SourceType>JournalArticle</b:SourceType>
    <b:Guid>{6E79013B-FB2A-4BB4-9E9E-3A4611405FEE}</b:Guid>
    <b:Author>
      <b:Author>
        <b:NameList>
          <b:Person>
            <b:Last>Kraisoraphong</b:Last>
            <b:First>Keokam</b:First>
          </b:Person>
        </b:NameList>
      </b:Author>
    </b:Author>
    <b:Title>Thailand and the Responsibility to Protect</b:Title>
    <b:JournalName>The Pacific Review, Vol. 25 No. 1</b:JournalName>
    <b:Year>2012</b:Year>
    <b:Pages>1–25</b:Pages>
    <b:RefOrder>10</b:RefOrder>
  </b:Source>
  <b:Source>
    <b:Tag>Hik17</b:Tag>
    <b:SourceType>InternetSite</b:SourceType>
    <b:Guid>{D2AACDB5-9C5C-4205-B8CE-2EEDD77DAD74}</b:Guid>
    <b:Author>
      <b:Author>
        <b:NameList>
          <b:Person>
            <b:Last>Juwana</b:Last>
            <b:First>Hikmahanto</b:First>
          </b:Person>
        </b:NameList>
      </b:Author>
    </b:Author>
    <b:Title>Kewajiban ASEAN Melindungi Myanmar</b:Title>
    <b:InternetSiteTitle>Fakultas Hukum Universitas Indonesia</b:InternetSiteTitle>
    <b:Year>2017</b:Year>
    <b:Month>September </b:Month>
    <b:Day>15</b:Day>
    <b:URL>http://law.ui.ac.id/v3/kewajiban-asean-melindungi-myanmar/</b:URL>
    <b:RefOrder>11</b:RefOrder>
  </b:Source>
  <b:Source>
    <b:Tag>Anu17</b:Tag>
    <b:SourceType>InternetSite</b:SourceType>
    <b:Guid>{C3AF2251-B2C0-4EAA-BBE9-E3BE7A0829C9}</b:Guid>
    <b:Title>Indonesian Minister to Meet Suu Kyi amid Protests over Rohingya</b:Title>
    <b:Year>2017</b:Year>
    <b:Author>
      <b:Author>
        <b:NameList>
          <b:Person>
            <b:Last>Kapoor</b:Last>
            <b:First>Anupriya</b:First>
          </b:Person>
        </b:NameList>
      </b:Author>
    </b:Author>
    <b:InternetSiteTitle>reuters</b:InternetSiteTitle>
    <b:Month>September</b:Month>
    <b:Day>4</b:Day>
    <b:URL>https://www.reuters.com/article/us-myanmar-rohingya-indonesia/indonesian-minister-to-meet-suu-kyi-amid-protests-over-rohingya-idUSKCN1BF0PY</b:URL>
    <b:RefOrder>12</b:RefOrder>
  </b:Source>
  <b:Source>
    <b:Tag>Hel09</b:Tag>
    <b:SourceType>JournalArticle</b:SourceType>
    <b:Guid>{6FD59D3F-D83B-4CF6-BB59-7427106E5BA9}</b:Guid>
    <b:Author>
      <b:Author>
        <b:NameList>
          <b:Person>
            <b:Last>Nesadurai</b:Last>
            <b:First>Helen</b:First>
          </b:Person>
        </b:NameList>
      </b:Author>
    </b:Author>
    <b:Title>ASEAN and Regional Governance after the Cold War: From Regional Order to Regional Community?</b:Title>
    <b:JournalName>The Pacific Review, No. 1 Vol. 22</b:JournalName>
    <b:Year>2009</b:Year>
    <b:Pages>91-118</b:Pages>
    <b:RefOrder>13</b:RefOrder>
  </b:Source>
  <b:Source>
    <b:Tag>Mel08</b:Tag>
    <b:SourceType>JournalArticle</b:SourceType>
    <b:Guid>{AD199DD4-97B8-4E2D-822E-C9B278B336F5}</b:Guid>
    <b:Author>
      <b:Author>
        <b:NameList>
          <b:Person>
            <b:Last>Caballero-Anthony</b:Last>
            <b:First>Mely</b:First>
          </b:Person>
        </b:NameList>
      </b:Author>
    </b:Author>
    <b:Title>The ASEAN Charter: An Opportunity Missed or One that Cannot be Missed?</b:Title>
    <b:JournalName>Southeast Asian Affairs</b:JournalName>
    <b:Year>2008</b:Year>
    <b:Pages>71-85</b:Pages>
    <b:RefOrder>14</b:RefOrder>
  </b:Source>
  <b:Source>
    <b:Tag>Fer13</b:Tag>
    <b:SourceType>Book</b:SourceType>
    <b:Guid>{47099393-7AD3-463A-BB5C-F7B07974B94B}</b:Guid>
    <b:Author>
      <b:Author>
        <b:NameList>
          <b:Person>
            <b:Last>Ferris</b:Last>
            <b:First>Elizabeth</b:First>
          </b:Person>
          <b:Person>
            <b:Last>Petz</b:Last>
            <b:First>Daniel</b:First>
          </b:Person>
        </b:NameList>
      </b:Author>
    </b:Author>
    <b:Title>In the Neighborhood: the Growing Role of Regional Organizations in Disaster Risk Management</b:Title>
    <b:Year>2013</b:Year>
    <b:Publisher>The Brookings Institution, London School of Economic Project on Internal Displacement</b:Publisher>
    <b:City>Washington</b:City>
    <b:RefOrder>15</b:RefOrder>
  </b:Source>
  <b:Source>
    <b:Tag>Yuk18</b:Tag>
    <b:SourceType>JournalArticle</b:SourceType>
    <b:Guid>{2886B835-62C6-412F-9BE3-2D9E19702F3D}</b:Guid>
    <b:Title>The reality of protecting the Rohingya: An inherent limitation of the responsibility to protect</b:Title>
    <b:Year>2018</b:Year>
    <b:Author>
      <b:Author>
        <b:NameList>
          <b:Person>
            <b:Last>Nishikawa</b:Last>
            <b:First>Yukiko</b:First>
          </b:Person>
        </b:NameList>
      </b:Author>
    </b:Author>
    <b:JournalName>Asian Security</b:JournalName>
    <b:RefOrder>3</b:RefOrder>
  </b:Source>
  <b:Source>
    <b:Tag>Len12</b:Tag>
    <b:SourceType>JournalArticle</b:SourceType>
    <b:Guid>{679B6E9E-5268-4E47-9740-B8DB8C89F838}</b:Guid>
    <b:Title>Indonesia and the Responsibility to Protect</b:Title>
    <b:Year>2012</b:Year>
    <b:Author>
      <b:Author>
        <b:NameList>
          <b:Person>
            <b:Last>Alexandra</b:Last>
            <b:First>Lena</b:First>
          </b:Person>
        </b:NameList>
      </b:Author>
    </b:Author>
    <b:JournalName>The Pacific Review, Vol. 25 No. 1</b:JournalName>
    <b:Pages>51-74</b:Pages>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2D952-F027-4537-A709-FF940A5D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10726</Words>
  <Characters>61142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The Journal of Southeast Asian Studies, 2020</vt:lpstr>
    </vt:vector>
  </TitlesOfParts>
  <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Journal of Southeast Asian Studies, 2020</dc:title>
  <dc:creator>ASUS</dc:creator>
  <cp:lastModifiedBy>User</cp:lastModifiedBy>
  <cp:revision>292</cp:revision>
  <cp:lastPrinted>2022-03-30T06:32:00Z</cp:lastPrinted>
  <dcterms:created xsi:type="dcterms:W3CDTF">2022-03-30T03:07:00Z</dcterms:created>
  <dcterms:modified xsi:type="dcterms:W3CDTF">2022-03-30T06:32:00Z</dcterms:modified>
</cp:coreProperties>
</file>