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C050C" w14:textId="77777777" w:rsidR="00083C7E" w:rsidRDefault="00047EFE" w:rsidP="0060416A">
      <w:pPr>
        <w:spacing w:after="120"/>
        <w:jc w:val="center"/>
        <w:outlineLvl w:val="0"/>
        <w:rPr>
          <w:rFonts w:ascii="Arial" w:hAnsi="Arial" w:cs="Arial"/>
          <w:b/>
          <w:sz w:val="22"/>
          <w:u w:val="single"/>
        </w:rPr>
      </w:pPr>
      <w:r>
        <w:rPr>
          <w:rFonts w:ascii="Arial" w:hAnsi="Arial"/>
          <w:b/>
          <w:sz w:val="22"/>
          <w:u w:val="single"/>
        </w:rPr>
        <w:t>FRONTPAGE</w:t>
      </w:r>
    </w:p>
    <w:p w14:paraId="0AEA4C0B" w14:textId="77777777" w:rsidR="00083C7E" w:rsidRDefault="00047EFE">
      <w:pPr>
        <w:spacing w:after="120"/>
        <w:jc w:val="both"/>
        <w:rPr>
          <w:rFonts w:ascii="Arial" w:hAnsi="Arial" w:cs="Arial"/>
          <w:sz w:val="22"/>
          <w:szCs w:val="22"/>
        </w:rPr>
      </w:pPr>
      <w:r>
        <w:rPr>
          <w:rFonts w:ascii="Arial" w:hAnsi="Arial"/>
          <w:sz w:val="22"/>
          <w:szCs w:val="22"/>
        </w:rPr>
        <w:t xml:space="preserve">This manuscript should contain the full names of the main and co-authors. However, the author's name should not include a title. Mark authors clearly for correspondence for ease of contact during the publication process.  </w:t>
      </w:r>
      <w:r>
        <w:rPr>
          <w:rFonts w:ascii="Arial" w:hAnsi="Arial" w:cs="Arial"/>
          <w:b/>
          <w:sz w:val="22"/>
          <w:szCs w:val="22"/>
        </w:rPr>
        <w:t>(</w:t>
      </w:r>
      <w:r>
        <w:rPr>
          <w:rFonts w:ascii="Arial" w:hAnsi="Arial"/>
          <w:b/>
          <w:sz w:val="22"/>
          <w:szCs w:val="22"/>
        </w:rPr>
        <w:t>CODE 20</w:t>
      </w:r>
      <w:r>
        <w:rPr>
          <w:rFonts w:ascii="Arial" w:hAnsi="Arial" w:cs="Arial"/>
          <w:b/>
          <w:sz w:val="22"/>
          <w:szCs w:val="22"/>
        </w:rPr>
        <w:t>)</w:t>
      </w:r>
    </w:p>
    <w:p w14:paraId="5973FBB1"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 xml:space="preserve"> </w:t>
      </w:r>
      <w:r>
        <w:rPr>
          <w:rFonts w:ascii="Arial" w:hAnsi="Arial"/>
          <w:sz w:val="22"/>
          <w:szCs w:val="22"/>
        </w:rPr>
        <w:t>First author</w:t>
      </w:r>
      <w:r>
        <w:rPr>
          <w:rFonts w:ascii="Arial" w:hAnsi="Arial" w:cs="Arial"/>
          <w:sz w:val="22"/>
          <w:szCs w:val="22"/>
        </w:rPr>
        <w:t>:</w:t>
      </w:r>
    </w:p>
    <w:p w14:paraId="518BA0E3"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1. </w:t>
      </w:r>
      <w:r>
        <w:rPr>
          <w:rFonts w:ascii="Arial" w:hAnsi="Arial" w:cs="Arial"/>
          <w:sz w:val="22"/>
          <w:szCs w:val="22"/>
        </w:rPr>
        <w:tab/>
        <w:t>Nam</w:t>
      </w:r>
      <w:r>
        <w:rPr>
          <w:rFonts w:ascii="Arial" w:hAnsi="Arial" w:cs="Arial"/>
          <w:sz w:val="22"/>
          <w:szCs w:val="22"/>
        </w:rPr>
        <w:t>e</w:t>
      </w:r>
      <w:r>
        <w:rPr>
          <w:rFonts w:ascii="Arial" w:hAnsi="Arial" w:cs="Arial"/>
          <w:sz w:val="22"/>
          <w:szCs w:val="22"/>
        </w:rPr>
        <w:t xml:space="preserve"> </w:t>
      </w:r>
      <w:r>
        <w:rPr>
          <w:rFonts w:ascii="Arial" w:hAnsi="Arial" w:cs="Arial"/>
          <w:sz w:val="22"/>
          <w:szCs w:val="22"/>
        </w:rPr>
        <w:tab/>
        <w:t>: Rahmi</w:t>
      </w:r>
    </w:p>
    <w:p w14:paraId="74A80F16" w14:textId="77777777" w:rsidR="00083C7E" w:rsidRDefault="00047EFE">
      <w:pPr>
        <w:tabs>
          <w:tab w:val="left" w:pos="284"/>
          <w:tab w:val="left" w:pos="567"/>
          <w:tab w:val="left" w:pos="1560"/>
        </w:tabs>
        <w:spacing w:after="120" w:line="276" w:lineRule="auto"/>
        <w:rPr>
          <w:rFonts w:ascii="Arial" w:hAnsi="Arial" w:cs="Arial"/>
          <w:sz w:val="22"/>
          <w:szCs w:val="22"/>
        </w:rPr>
      </w:pPr>
      <w:r>
        <w:rPr>
          <w:rFonts w:ascii="Arial" w:hAnsi="Arial" w:cs="Arial"/>
          <w:sz w:val="22"/>
          <w:szCs w:val="22"/>
        </w:rPr>
        <w:tab/>
        <w:t xml:space="preserve">2. </w:t>
      </w:r>
      <w:r>
        <w:rPr>
          <w:rFonts w:ascii="Arial" w:hAnsi="Arial" w:cs="Arial"/>
          <w:sz w:val="22"/>
          <w:szCs w:val="22"/>
        </w:rPr>
        <w:tab/>
      </w:r>
      <w:r>
        <w:rPr>
          <w:rFonts w:ascii="Arial" w:hAnsi="Arial" w:cs="Arial"/>
          <w:sz w:val="22"/>
          <w:szCs w:val="22"/>
        </w:rPr>
        <w:t>A</w:t>
      </w:r>
      <w:r>
        <w:rPr>
          <w:rFonts w:ascii="Arial" w:hAnsi="Arial"/>
          <w:sz w:val="22"/>
          <w:szCs w:val="22"/>
        </w:rPr>
        <w:t>ffiliation</w:t>
      </w:r>
      <w:r>
        <w:rPr>
          <w:rFonts w:ascii="Arial" w:hAnsi="Arial" w:cs="Arial"/>
          <w:sz w:val="22"/>
          <w:szCs w:val="22"/>
        </w:rPr>
        <w:t xml:space="preserve"> </w:t>
      </w:r>
      <w:r>
        <w:rPr>
          <w:rFonts w:ascii="Arial" w:hAnsi="Arial" w:cs="Arial"/>
          <w:sz w:val="22"/>
          <w:szCs w:val="22"/>
        </w:rPr>
        <w:tab/>
        <w:t xml:space="preserve">: </w:t>
      </w:r>
      <w:r>
        <w:rPr>
          <w:rFonts w:ascii="Arial" w:hAnsi="Arial"/>
          <w:sz w:val="22"/>
          <w:szCs w:val="22"/>
        </w:rPr>
        <w:t>University of Muhammadiyah Makassar</w:t>
      </w:r>
    </w:p>
    <w:p w14:paraId="6E57AB09" w14:textId="77777777" w:rsidR="00083C7E" w:rsidRDefault="00047EFE">
      <w:pPr>
        <w:tabs>
          <w:tab w:val="left" w:pos="284"/>
          <w:tab w:val="left" w:pos="567"/>
          <w:tab w:val="left" w:pos="1560"/>
        </w:tabs>
        <w:spacing w:after="120" w:line="276" w:lineRule="auto"/>
        <w:rPr>
          <w:rFonts w:ascii="Arial" w:hAnsi="Arial" w:cs="Arial"/>
          <w:sz w:val="22"/>
          <w:szCs w:val="22"/>
        </w:rPr>
      </w:pPr>
      <w:r>
        <w:rPr>
          <w:rFonts w:ascii="Arial" w:hAnsi="Arial" w:cs="Arial"/>
          <w:sz w:val="22"/>
          <w:szCs w:val="22"/>
        </w:rPr>
        <w:tab/>
        <w:t xml:space="preserve">3. </w:t>
      </w:r>
      <w:r>
        <w:rPr>
          <w:rFonts w:ascii="Arial" w:hAnsi="Arial" w:cs="Arial"/>
          <w:sz w:val="22"/>
          <w:szCs w:val="22"/>
        </w:rPr>
        <w:tab/>
        <w:t xml:space="preserve">E-mail </w:t>
      </w:r>
      <w:r>
        <w:rPr>
          <w:rFonts w:ascii="Arial" w:hAnsi="Arial" w:cs="Arial"/>
          <w:sz w:val="22"/>
          <w:szCs w:val="22"/>
        </w:rPr>
        <w:tab/>
        <w:t>: rahmiperikanan@unismuh.ac.id</w:t>
      </w:r>
    </w:p>
    <w:p w14:paraId="344975C7"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4. </w:t>
      </w:r>
      <w:r>
        <w:rPr>
          <w:rFonts w:ascii="Arial" w:hAnsi="Arial" w:cs="Arial"/>
          <w:sz w:val="22"/>
          <w:szCs w:val="22"/>
        </w:rPr>
        <w:tab/>
        <w:t xml:space="preserve">Orcid ID </w:t>
      </w:r>
      <w:r>
        <w:rPr>
          <w:rFonts w:ascii="Arial" w:hAnsi="Arial" w:cs="Arial"/>
          <w:sz w:val="22"/>
          <w:szCs w:val="22"/>
        </w:rPr>
        <w:tab/>
        <w:t xml:space="preserve">: </w:t>
      </w:r>
      <w:r>
        <w:rPr>
          <w:rFonts w:ascii="Arial" w:eastAsia="Times New Roman" w:hAnsi="Arial" w:cs="Arial"/>
          <w:color w:val="494A4C"/>
          <w:sz w:val="22"/>
          <w:szCs w:val="22"/>
          <w:shd w:val="clear" w:color="auto" w:fill="FFFFFF"/>
        </w:rPr>
        <w:t>https://orcid.org/0000-0001-7105-5277</w:t>
      </w:r>
    </w:p>
    <w:p w14:paraId="0138105D"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5. </w:t>
      </w:r>
      <w:r>
        <w:rPr>
          <w:rFonts w:ascii="Arial" w:hAnsi="Arial" w:cs="Arial"/>
          <w:sz w:val="22"/>
          <w:szCs w:val="22"/>
        </w:rPr>
        <w:tab/>
      </w:r>
      <w:r>
        <w:rPr>
          <w:rFonts w:ascii="Arial" w:hAnsi="Arial"/>
          <w:sz w:val="22"/>
          <w:szCs w:val="22"/>
        </w:rPr>
        <w:t>Contributions to this manuscript: Lead author/Author for correspondence</w:t>
      </w:r>
    </w:p>
    <w:p w14:paraId="5ED874AF"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sz w:val="22"/>
          <w:szCs w:val="22"/>
        </w:rPr>
        <w:t>Sec</w:t>
      </w:r>
      <w:r>
        <w:rPr>
          <w:rFonts w:ascii="Arial" w:hAnsi="Arial"/>
          <w:sz w:val="22"/>
          <w:szCs w:val="22"/>
        </w:rPr>
        <w:t>ond author</w:t>
      </w:r>
      <w:r>
        <w:rPr>
          <w:rFonts w:ascii="Arial" w:hAnsi="Arial" w:cs="Arial"/>
          <w:sz w:val="22"/>
          <w:szCs w:val="22"/>
        </w:rPr>
        <w:t>:</w:t>
      </w:r>
    </w:p>
    <w:p w14:paraId="3101408F"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sz w:val="22"/>
          <w:szCs w:val="22"/>
        </w:rPr>
        <w:tab/>
        <w:t>1</w:t>
      </w:r>
      <w:r>
        <w:rPr>
          <w:rFonts w:ascii="Arial" w:hAnsi="Arial" w:cs="Arial"/>
          <w:color w:val="000000" w:themeColor="text1"/>
          <w:sz w:val="22"/>
          <w:szCs w:val="22"/>
        </w:rPr>
        <w:t xml:space="preserve">. </w:t>
      </w:r>
      <w:r>
        <w:rPr>
          <w:rFonts w:ascii="Arial" w:hAnsi="Arial" w:cs="Arial"/>
          <w:color w:val="000000" w:themeColor="text1"/>
          <w:sz w:val="22"/>
          <w:szCs w:val="22"/>
        </w:rPr>
        <w:tab/>
        <w:t>Nam</w:t>
      </w:r>
      <w:r>
        <w:rPr>
          <w:rFonts w:ascii="Arial" w:hAnsi="Arial" w:cs="Arial"/>
          <w:color w:val="000000" w:themeColor="text1"/>
          <w:sz w:val="22"/>
          <w:szCs w:val="22"/>
        </w:rPr>
        <w:t>e</w:t>
      </w:r>
      <w:r>
        <w:rPr>
          <w:rFonts w:ascii="Arial" w:hAnsi="Arial" w:cs="Arial"/>
          <w:color w:val="000000" w:themeColor="text1"/>
          <w:sz w:val="22"/>
          <w:szCs w:val="22"/>
        </w:rPr>
        <w:t xml:space="preserve"> </w:t>
      </w:r>
      <w:r>
        <w:rPr>
          <w:rFonts w:ascii="Arial" w:hAnsi="Arial" w:cs="Arial"/>
          <w:color w:val="000000" w:themeColor="text1"/>
          <w:sz w:val="22"/>
          <w:szCs w:val="22"/>
        </w:rPr>
        <w:tab/>
        <w:t>: Andi Ninnong Renita Relatami</w:t>
      </w:r>
    </w:p>
    <w:p w14:paraId="18166ADE"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color w:val="000000" w:themeColor="text1"/>
          <w:sz w:val="22"/>
          <w:szCs w:val="22"/>
        </w:rPr>
        <w:tab/>
        <w:t xml:space="preserve">2. </w:t>
      </w:r>
      <w:r>
        <w:rPr>
          <w:rFonts w:ascii="Arial" w:hAnsi="Arial" w:cs="Arial"/>
          <w:color w:val="000000" w:themeColor="text1"/>
          <w:sz w:val="22"/>
          <w:szCs w:val="22"/>
        </w:rPr>
        <w:tab/>
      </w:r>
      <w:r>
        <w:rPr>
          <w:rFonts w:ascii="Arial" w:hAnsi="Arial" w:cs="Arial"/>
          <w:sz w:val="22"/>
          <w:szCs w:val="22"/>
        </w:rPr>
        <w:t>A</w:t>
      </w:r>
      <w:r>
        <w:rPr>
          <w:rFonts w:ascii="Arial" w:hAnsi="Arial"/>
          <w:sz w:val="22"/>
          <w:szCs w:val="22"/>
        </w:rPr>
        <w:t>ffiliation</w:t>
      </w:r>
      <w:r>
        <w:rPr>
          <w:rFonts w:ascii="Arial" w:hAnsi="Arial" w:cs="Arial"/>
          <w:color w:val="000000" w:themeColor="text1"/>
          <w:sz w:val="22"/>
          <w:szCs w:val="22"/>
        </w:rPr>
        <w:t xml:space="preserve"> </w:t>
      </w:r>
      <w:r>
        <w:rPr>
          <w:rFonts w:ascii="Arial" w:hAnsi="Arial" w:cs="Arial"/>
          <w:color w:val="000000" w:themeColor="text1"/>
          <w:sz w:val="22"/>
          <w:szCs w:val="22"/>
        </w:rPr>
        <w:tab/>
        <w:t xml:space="preserve">: </w:t>
      </w:r>
      <w:r>
        <w:rPr>
          <w:rFonts w:ascii="Arial" w:hAnsi="Arial"/>
          <w:color w:val="000000" w:themeColor="text1"/>
          <w:sz w:val="22"/>
          <w:szCs w:val="22"/>
        </w:rPr>
        <w:t>Hasanuddin University</w:t>
      </w:r>
    </w:p>
    <w:p w14:paraId="2F0E93FA"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color w:val="C00000"/>
          <w:sz w:val="22"/>
          <w:szCs w:val="22"/>
        </w:rPr>
        <w:tab/>
      </w:r>
      <w:r>
        <w:rPr>
          <w:rFonts w:ascii="Arial" w:hAnsi="Arial" w:cs="Arial"/>
          <w:color w:val="000000" w:themeColor="text1"/>
          <w:sz w:val="22"/>
          <w:szCs w:val="22"/>
        </w:rPr>
        <w:t xml:space="preserve">3. </w:t>
      </w:r>
      <w:r>
        <w:rPr>
          <w:rFonts w:ascii="Arial" w:hAnsi="Arial" w:cs="Arial"/>
          <w:color w:val="000000" w:themeColor="text1"/>
          <w:sz w:val="22"/>
          <w:szCs w:val="22"/>
        </w:rPr>
        <w:tab/>
        <w:t xml:space="preserve">E-mail </w:t>
      </w:r>
      <w:r>
        <w:rPr>
          <w:rFonts w:ascii="Arial" w:hAnsi="Arial" w:cs="Arial"/>
          <w:color w:val="000000" w:themeColor="text1"/>
          <w:sz w:val="22"/>
          <w:szCs w:val="22"/>
        </w:rPr>
        <w:tab/>
        <w:t>: relatamirenita11@gmail.com</w:t>
      </w:r>
    </w:p>
    <w:p w14:paraId="5D4FA2AE"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color w:val="000000" w:themeColor="text1"/>
          <w:sz w:val="22"/>
          <w:szCs w:val="22"/>
        </w:rPr>
        <w:tab/>
        <w:t xml:space="preserve">4. </w:t>
      </w:r>
      <w:r>
        <w:rPr>
          <w:rFonts w:ascii="Arial" w:hAnsi="Arial" w:cs="Arial"/>
          <w:color w:val="000000" w:themeColor="text1"/>
          <w:sz w:val="22"/>
          <w:szCs w:val="22"/>
        </w:rPr>
        <w:tab/>
        <w:t xml:space="preserve">Orcid ID </w:t>
      </w:r>
      <w:r>
        <w:rPr>
          <w:rFonts w:ascii="Arial" w:hAnsi="Arial" w:cs="Arial"/>
          <w:color w:val="000000" w:themeColor="text1"/>
          <w:sz w:val="22"/>
          <w:szCs w:val="22"/>
        </w:rPr>
        <w:tab/>
        <w:t xml:space="preserve">: </w:t>
      </w:r>
      <w:r>
        <w:rPr>
          <w:rFonts w:ascii="Arial" w:hAnsi="Arial" w:cs="Arial"/>
          <w:color w:val="000000" w:themeColor="text1"/>
          <w:sz w:val="22"/>
          <w:szCs w:val="22"/>
          <w:shd w:val="clear" w:color="auto" w:fill="FFFFFF"/>
        </w:rPr>
        <w:t>https://orcid.org/0000-0003-4262-1334</w:t>
      </w:r>
    </w:p>
    <w:p w14:paraId="5320C447"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color w:val="000000" w:themeColor="text1"/>
          <w:sz w:val="22"/>
          <w:szCs w:val="22"/>
        </w:rPr>
        <w:tab/>
        <w:t xml:space="preserve">5. </w:t>
      </w:r>
      <w:r>
        <w:rPr>
          <w:rFonts w:ascii="Arial" w:hAnsi="Arial" w:cs="Arial"/>
          <w:color w:val="000000" w:themeColor="text1"/>
          <w:sz w:val="22"/>
          <w:szCs w:val="22"/>
        </w:rPr>
        <w:tab/>
      </w:r>
      <w:r>
        <w:rPr>
          <w:rFonts w:ascii="Arial" w:hAnsi="Arial"/>
          <w:color w:val="000000" w:themeColor="text1"/>
          <w:sz w:val="22"/>
          <w:szCs w:val="22"/>
        </w:rPr>
        <w:t>Contributions to this manuscript: Other Authors</w:t>
      </w:r>
      <w:r>
        <w:rPr>
          <w:rFonts w:ascii="Arial" w:hAnsi="Arial" w:cs="Arial"/>
          <w:color w:val="000000" w:themeColor="text1"/>
          <w:sz w:val="22"/>
          <w:szCs w:val="22"/>
        </w:rPr>
        <w:t xml:space="preserve"> </w:t>
      </w:r>
    </w:p>
    <w:p w14:paraId="2B16B42E"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sz w:val="22"/>
          <w:szCs w:val="22"/>
        </w:rPr>
        <w:t xml:space="preserve">Third </w:t>
      </w:r>
      <w:r>
        <w:rPr>
          <w:rFonts w:ascii="Arial" w:hAnsi="Arial"/>
          <w:sz w:val="22"/>
          <w:szCs w:val="22"/>
        </w:rPr>
        <w:t>author</w:t>
      </w:r>
      <w:r>
        <w:rPr>
          <w:rFonts w:ascii="Arial" w:hAnsi="Arial" w:cs="Arial"/>
          <w:sz w:val="22"/>
          <w:szCs w:val="22"/>
        </w:rPr>
        <w:t>:</w:t>
      </w:r>
    </w:p>
    <w:p w14:paraId="210B2121"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1. </w:t>
      </w:r>
      <w:r>
        <w:rPr>
          <w:rFonts w:ascii="Arial" w:hAnsi="Arial" w:cs="Arial"/>
          <w:sz w:val="22"/>
          <w:szCs w:val="22"/>
        </w:rPr>
        <w:tab/>
        <w:t>Nam</w:t>
      </w:r>
      <w:r>
        <w:rPr>
          <w:rFonts w:ascii="Arial" w:hAnsi="Arial" w:cs="Arial"/>
          <w:sz w:val="22"/>
          <w:szCs w:val="22"/>
        </w:rPr>
        <w:t>e</w:t>
      </w:r>
      <w:r>
        <w:rPr>
          <w:rFonts w:ascii="Arial" w:hAnsi="Arial" w:cs="Arial"/>
          <w:sz w:val="22"/>
          <w:szCs w:val="22"/>
        </w:rPr>
        <w:t xml:space="preserve"> </w:t>
      </w:r>
      <w:r>
        <w:rPr>
          <w:rFonts w:ascii="Arial" w:hAnsi="Arial" w:cs="Arial"/>
          <w:sz w:val="22"/>
          <w:szCs w:val="22"/>
        </w:rPr>
        <w:tab/>
        <w:t>: Akmal</w:t>
      </w:r>
    </w:p>
    <w:p w14:paraId="4302AF5A"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2. </w:t>
      </w:r>
      <w:r>
        <w:rPr>
          <w:rFonts w:ascii="Arial" w:hAnsi="Arial" w:cs="Arial"/>
          <w:sz w:val="22"/>
          <w:szCs w:val="22"/>
        </w:rPr>
        <w:tab/>
      </w:r>
      <w:r>
        <w:rPr>
          <w:rFonts w:ascii="Arial" w:hAnsi="Arial" w:cs="Arial"/>
          <w:sz w:val="22"/>
          <w:szCs w:val="22"/>
        </w:rPr>
        <w:t>A</w:t>
      </w:r>
      <w:r>
        <w:rPr>
          <w:rFonts w:ascii="Arial" w:hAnsi="Arial"/>
          <w:sz w:val="22"/>
          <w:szCs w:val="22"/>
        </w:rPr>
        <w:t>ffiliation</w:t>
      </w:r>
      <w:r>
        <w:rPr>
          <w:rFonts w:ascii="Arial" w:hAnsi="Arial" w:cs="Arial"/>
          <w:color w:val="000000" w:themeColor="text1"/>
          <w:sz w:val="22"/>
          <w:szCs w:val="22"/>
        </w:rPr>
        <w:t xml:space="preserve"> </w:t>
      </w:r>
      <w:r>
        <w:rPr>
          <w:rFonts w:ascii="Arial" w:hAnsi="Arial" w:cs="Arial"/>
          <w:sz w:val="22"/>
          <w:szCs w:val="22"/>
        </w:rPr>
        <w:tab/>
        <w:t xml:space="preserve">: </w:t>
      </w:r>
      <w:r>
        <w:rPr>
          <w:rFonts w:ascii="Arial" w:hAnsi="Arial"/>
          <w:sz w:val="22"/>
          <w:szCs w:val="22"/>
        </w:rPr>
        <w:t>Takalar Brackish Water Cultivation Fisheries Center</w:t>
      </w:r>
    </w:p>
    <w:p w14:paraId="590DEAA8"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3. E-mail </w:t>
      </w:r>
      <w:r>
        <w:rPr>
          <w:rFonts w:ascii="Arial" w:hAnsi="Arial" w:cs="Arial"/>
          <w:sz w:val="22"/>
          <w:szCs w:val="22"/>
        </w:rPr>
        <w:tab/>
        <w:t>: akmal_bbaptakalar@yahoo.com</w:t>
      </w:r>
    </w:p>
    <w:p w14:paraId="05F01C81"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4. </w:t>
      </w:r>
      <w:r>
        <w:rPr>
          <w:rFonts w:ascii="Arial" w:hAnsi="Arial" w:cs="Arial"/>
          <w:sz w:val="22"/>
          <w:szCs w:val="22"/>
        </w:rPr>
        <w:tab/>
        <w:t xml:space="preserve">Orcid ID </w:t>
      </w:r>
      <w:r>
        <w:rPr>
          <w:rFonts w:ascii="Arial" w:hAnsi="Arial" w:cs="Arial"/>
          <w:sz w:val="22"/>
          <w:szCs w:val="22"/>
        </w:rPr>
        <w:tab/>
        <w:t xml:space="preserve">: </w:t>
      </w:r>
      <w:r>
        <w:rPr>
          <w:rFonts w:ascii="Arial" w:hAnsi="Arial" w:cs="Arial"/>
          <w:color w:val="494A4C"/>
          <w:sz w:val="22"/>
          <w:szCs w:val="22"/>
          <w:shd w:val="clear" w:color="auto" w:fill="FFFFFF"/>
        </w:rPr>
        <w:t>https://orcid.org/0000-0003-2005-7859</w:t>
      </w:r>
    </w:p>
    <w:p w14:paraId="678242CC"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5. </w:t>
      </w:r>
      <w:r>
        <w:rPr>
          <w:rFonts w:ascii="Arial" w:hAnsi="Arial" w:cs="Arial"/>
          <w:sz w:val="22"/>
          <w:szCs w:val="22"/>
        </w:rPr>
        <w:tab/>
      </w:r>
      <w:r>
        <w:rPr>
          <w:rFonts w:ascii="Arial" w:hAnsi="Arial"/>
          <w:sz w:val="22"/>
          <w:szCs w:val="22"/>
        </w:rPr>
        <w:t>Contributions to this manuscript: Other Authors</w:t>
      </w:r>
      <w:r>
        <w:rPr>
          <w:rFonts w:ascii="Arial" w:hAnsi="Arial" w:cs="Arial"/>
          <w:sz w:val="22"/>
          <w:szCs w:val="22"/>
        </w:rPr>
        <w:t xml:space="preserve"> </w:t>
      </w:r>
    </w:p>
    <w:p w14:paraId="0B498652"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sz w:val="22"/>
          <w:szCs w:val="22"/>
        </w:rPr>
        <w:t>Fourth</w:t>
      </w:r>
      <w:r>
        <w:rPr>
          <w:rFonts w:ascii="Arial" w:hAnsi="Arial"/>
          <w:sz w:val="22"/>
          <w:szCs w:val="22"/>
        </w:rPr>
        <w:t xml:space="preserve"> author</w:t>
      </w:r>
      <w:r>
        <w:rPr>
          <w:rFonts w:ascii="Arial" w:hAnsi="Arial" w:cs="Arial"/>
          <w:sz w:val="22"/>
          <w:szCs w:val="22"/>
        </w:rPr>
        <w:t>:</w:t>
      </w:r>
    </w:p>
    <w:p w14:paraId="1EB2B515"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1. </w:t>
      </w:r>
      <w:r>
        <w:rPr>
          <w:rFonts w:ascii="Arial" w:hAnsi="Arial" w:cs="Arial"/>
          <w:sz w:val="22"/>
          <w:szCs w:val="22"/>
        </w:rPr>
        <w:tab/>
        <w:t>Nam</w:t>
      </w:r>
      <w:r>
        <w:rPr>
          <w:rFonts w:ascii="Arial" w:hAnsi="Arial" w:cs="Arial"/>
          <w:sz w:val="22"/>
          <w:szCs w:val="22"/>
        </w:rPr>
        <w:t>e</w:t>
      </w:r>
      <w:r>
        <w:rPr>
          <w:rFonts w:ascii="Arial" w:hAnsi="Arial" w:cs="Arial"/>
          <w:sz w:val="22"/>
          <w:szCs w:val="22"/>
        </w:rPr>
        <w:t xml:space="preserve"> </w:t>
      </w:r>
      <w:r>
        <w:rPr>
          <w:rFonts w:ascii="Arial" w:hAnsi="Arial" w:cs="Arial"/>
          <w:sz w:val="22"/>
          <w:szCs w:val="22"/>
        </w:rPr>
        <w:tab/>
        <w:t>: Sri Wahyuni Firman</w:t>
      </w:r>
    </w:p>
    <w:p w14:paraId="48D9B06F"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sz w:val="22"/>
          <w:szCs w:val="22"/>
        </w:rPr>
        <w:tab/>
        <w:t xml:space="preserve">2. </w:t>
      </w:r>
      <w:r>
        <w:rPr>
          <w:rFonts w:ascii="Arial" w:hAnsi="Arial" w:cs="Arial"/>
          <w:sz w:val="22"/>
          <w:szCs w:val="22"/>
        </w:rPr>
        <w:tab/>
      </w:r>
      <w:r>
        <w:rPr>
          <w:rFonts w:ascii="Arial" w:hAnsi="Arial" w:cs="Arial"/>
          <w:sz w:val="22"/>
          <w:szCs w:val="22"/>
        </w:rPr>
        <w:t>A</w:t>
      </w:r>
      <w:r>
        <w:rPr>
          <w:rFonts w:ascii="Arial" w:hAnsi="Arial"/>
          <w:sz w:val="22"/>
          <w:szCs w:val="22"/>
        </w:rPr>
        <w:t>ffiliation</w:t>
      </w:r>
      <w:r>
        <w:rPr>
          <w:rFonts w:ascii="Arial" w:hAnsi="Arial" w:cs="Arial"/>
          <w:color w:val="000000" w:themeColor="text1"/>
          <w:sz w:val="22"/>
          <w:szCs w:val="22"/>
        </w:rPr>
        <w:t xml:space="preserve"> </w:t>
      </w:r>
      <w:r>
        <w:rPr>
          <w:rFonts w:ascii="Arial" w:hAnsi="Arial" w:cs="Arial"/>
          <w:sz w:val="22"/>
          <w:szCs w:val="22"/>
        </w:rPr>
        <w:tab/>
      </w:r>
      <w:r>
        <w:rPr>
          <w:rFonts w:ascii="Arial" w:hAnsi="Arial" w:cs="Arial"/>
          <w:color w:val="000000" w:themeColor="text1"/>
          <w:sz w:val="22"/>
          <w:szCs w:val="22"/>
        </w:rPr>
        <w:t xml:space="preserve">: </w:t>
      </w:r>
      <w:r>
        <w:rPr>
          <w:rFonts w:ascii="Arial" w:hAnsi="Arial"/>
          <w:color w:val="000000" w:themeColor="text1"/>
          <w:sz w:val="22"/>
          <w:szCs w:val="22"/>
        </w:rPr>
        <w:t>Muhammadiyah University of Education Sorong</w:t>
      </w:r>
    </w:p>
    <w:p w14:paraId="625268F1"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color w:val="000000" w:themeColor="text1"/>
          <w:sz w:val="22"/>
          <w:szCs w:val="22"/>
        </w:rPr>
        <w:tab/>
        <w:t xml:space="preserve">3. </w:t>
      </w:r>
      <w:r>
        <w:rPr>
          <w:rFonts w:ascii="Arial" w:hAnsi="Arial" w:cs="Arial"/>
          <w:color w:val="000000" w:themeColor="text1"/>
          <w:sz w:val="22"/>
          <w:szCs w:val="22"/>
        </w:rPr>
        <w:tab/>
        <w:t xml:space="preserve">E-mail </w:t>
      </w:r>
      <w:r>
        <w:rPr>
          <w:rFonts w:ascii="Arial" w:hAnsi="Arial" w:cs="Arial"/>
          <w:color w:val="000000" w:themeColor="text1"/>
          <w:sz w:val="22"/>
          <w:szCs w:val="22"/>
        </w:rPr>
        <w:tab/>
        <w:t>: sriwahyunifirman@gmail.com</w:t>
      </w:r>
    </w:p>
    <w:p w14:paraId="0E90BE7E" w14:textId="77777777" w:rsidR="00083C7E" w:rsidRDefault="00047EFE">
      <w:pPr>
        <w:tabs>
          <w:tab w:val="left" w:pos="284"/>
          <w:tab w:val="left" w:pos="567"/>
          <w:tab w:val="left" w:pos="1560"/>
        </w:tabs>
        <w:spacing w:after="120"/>
        <w:ind w:left="284"/>
        <w:rPr>
          <w:rFonts w:ascii="Arial" w:hAnsi="Arial" w:cs="Arial"/>
          <w:color w:val="000000" w:themeColor="text1"/>
          <w:sz w:val="22"/>
          <w:szCs w:val="22"/>
        </w:rPr>
      </w:pPr>
      <w:r>
        <w:rPr>
          <w:rFonts w:ascii="Arial" w:hAnsi="Arial" w:cs="Arial"/>
          <w:color w:val="000000" w:themeColor="text1"/>
          <w:sz w:val="22"/>
          <w:szCs w:val="22"/>
        </w:rPr>
        <w:t xml:space="preserve">4. </w:t>
      </w:r>
      <w:r>
        <w:rPr>
          <w:rFonts w:ascii="Arial" w:hAnsi="Arial" w:cs="Arial"/>
          <w:color w:val="000000" w:themeColor="text1"/>
          <w:sz w:val="22"/>
          <w:szCs w:val="22"/>
        </w:rPr>
        <w:tab/>
        <w:t xml:space="preserve">Orcid ID </w:t>
      </w:r>
      <w:r>
        <w:rPr>
          <w:rFonts w:ascii="Arial" w:hAnsi="Arial" w:cs="Arial"/>
          <w:color w:val="000000" w:themeColor="text1"/>
          <w:sz w:val="22"/>
          <w:szCs w:val="22"/>
        </w:rPr>
        <w:tab/>
        <w:t xml:space="preserve">: </w:t>
      </w:r>
      <w:r>
        <w:rPr>
          <w:rFonts w:ascii="Arial" w:eastAsia="Times New Roman" w:hAnsi="Arial" w:cs="Arial"/>
          <w:color w:val="000000" w:themeColor="text1"/>
          <w:sz w:val="22"/>
          <w:szCs w:val="22"/>
          <w:shd w:val="clear" w:color="auto" w:fill="FFFFFF"/>
        </w:rPr>
        <w:t>https://orcid.org/0000-0001-7090-2508</w:t>
      </w:r>
    </w:p>
    <w:p w14:paraId="61E8B28D"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5. </w:t>
      </w:r>
      <w:r>
        <w:rPr>
          <w:rFonts w:ascii="Arial" w:hAnsi="Arial" w:cs="Arial"/>
          <w:sz w:val="22"/>
          <w:szCs w:val="22"/>
        </w:rPr>
        <w:tab/>
      </w:r>
      <w:r>
        <w:rPr>
          <w:rFonts w:ascii="Arial" w:hAnsi="Arial"/>
          <w:sz w:val="22"/>
          <w:szCs w:val="22"/>
        </w:rPr>
        <w:t>Contributions to this manuscript: Other Authors</w:t>
      </w:r>
      <w:r>
        <w:rPr>
          <w:rFonts w:ascii="Arial" w:hAnsi="Arial" w:cs="Arial"/>
          <w:sz w:val="22"/>
          <w:szCs w:val="22"/>
        </w:rPr>
        <w:t xml:space="preserve"> </w:t>
      </w:r>
    </w:p>
    <w:p w14:paraId="3716AFB4"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sz w:val="22"/>
          <w:szCs w:val="22"/>
        </w:rPr>
        <w:t>Fifth author</w:t>
      </w:r>
      <w:r>
        <w:rPr>
          <w:rFonts w:ascii="Arial" w:hAnsi="Arial" w:cs="Arial"/>
          <w:sz w:val="22"/>
          <w:szCs w:val="22"/>
        </w:rPr>
        <w:t>:</w:t>
      </w:r>
    </w:p>
    <w:p w14:paraId="7C5F561E"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1. </w:t>
      </w:r>
      <w:r>
        <w:rPr>
          <w:rFonts w:ascii="Arial" w:hAnsi="Arial" w:cs="Arial"/>
          <w:sz w:val="22"/>
          <w:szCs w:val="22"/>
        </w:rPr>
        <w:tab/>
        <w:t>Nam</w:t>
      </w:r>
      <w:r>
        <w:rPr>
          <w:rFonts w:ascii="Arial" w:hAnsi="Arial" w:cs="Arial"/>
          <w:sz w:val="22"/>
          <w:szCs w:val="22"/>
        </w:rPr>
        <w:t>e</w:t>
      </w:r>
      <w:r>
        <w:rPr>
          <w:rFonts w:ascii="Arial" w:hAnsi="Arial" w:cs="Arial"/>
          <w:sz w:val="22"/>
          <w:szCs w:val="22"/>
        </w:rPr>
        <w:t xml:space="preserve"> </w:t>
      </w:r>
      <w:r>
        <w:rPr>
          <w:rFonts w:ascii="Arial" w:hAnsi="Arial" w:cs="Arial"/>
          <w:sz w:val="22"/>
          <w:szCs w:val="22"/>
        </w:rPr>
        <w:tab/>
        <w:t>: Bunga Rante Tampangallo</w:t>
      </w:r>
    </w:p>
    <w:p w14:paraId="7077B2E8"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sz w:val="22"/>
          <w:szCs w:val="22"/>
        </w:rPr>
        <w:tab/>
        <w:t xml:space="preserve">2. </w:t>
      </w:r>
      <w:r>
        <w:rPr>
          <w:rFonts w:ascii="Arial" w:hAnsi="Arial" w:cs="Arial"/>
          <w:sz w:val="22"/>
          <w:szCs w:val="22"/>
        </w:rPr>
        <w:tab/>
      </w:r>
      <w:r>
        <w:rPr>
          <w:rFonts w:ascii="Arial" w:hAnsi="Arial" w:cs="Arial"/>
          <w:sz w:val="22"/>
          <w:szCs w:val="22"/>
        </w:rPr>
        <w:t>A</w:t>
      </w:r>
      <w:r>
        <w:rPr>
          <w:rFonts w:ascii="Arial" w:hAnsi="Arial"/>
          <w:sz w:val="22"/>
          <w:szCs w:val="22"/>
        </w:rPr>
        <w:t>ffiliation</w:t>
      </w:r>
      <w:r>
        <w:rPr>
          <w:rFonts w:ascii="Arial" w:hAnsi="Arial" w:cs="Arial"/>
          <w:color w:val="000000" w:themeColor="text1"/>
          <w:sz w:val="22"/>
          <w:szCs w:val="22"/>
        </w:rPr>
        <w:t xml:space="preserve"> </w:t>
      </w:r>
      <w:r>
        <w:rPr>
          <w:rFonts w:ascii="Arial" w:hAnsi="Arial" w:cs="Arial"/>
          <w:sz w:val="22"/>
          <w:szCs w:val="22"/>
        </w:rPr>
        <w:tab/>
      </w:r>
      <w:r>
        <w:rPr>
          <w:rFonts w:ascii="Arial" w:hAnsi="Arial" w:cs="Arial"/>
          <w:color w:val="000000" w:themeColor="text1"/>
          <w:sz w:val="22"/>
          <w:szCs w:val="22"/>
        </w:rPr>
        <w:t xml:space="preserve">: </w:t>
      </w:r>
      <w:r>
        <w:rPr>
          <w:rFonts w:ascii="Arial" w:hAnsi="Arial"/>
          <w:color w:val="000000" w:themeColor="text1"/>
          <w:sz w:val="22"/>
          <w:szCs w:val="22"/>
        </w:rPr>
        <w:t>Brackish Water Cultivation Fisheries Research Institute and Fisheries Extension</w:t>
      </w:r>
    </w:p>
    <w:p w14:paraId="3B1771C8"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color w:val="000000" w:themeColor="text1"/>
          <w:sz w:val="22"/>
          <w:szCs w:val="22"/>
        </w:rPr>
        <w:tab/>
        <w:t xml:space="preserve">3. </w:t>
      </w:r>
      <w:r>
        <w:rPr>
          <w:rFonts w:ascii="Arial" w:hAnsi="Arial" w:cs="Arial"/>
          <w:color w:val="000000" w:themeColor="text1"/>
          <w:sz w:val="22"/>
          <w:szCs w:val="22"/>
        </w:rPr>
        <w:tab/>
        <w:t xml:space="preserve">E-mail </w:t>
      </w:r>
      <w:r>
        <w:rPr>
          <w:rFonts w:ascii="Arial" w:hAnsi="Arial" w:cs="Arial"/>
          <w:color w:val="000000" w:themeColor="text1"/>
          <w:sz w:val="22"/>
          <w:szCs w:val="22"/>
        </w:rPr>
        <w:tab/>
        <w:t>: bungatampangallo@yahoo.com</w:t>
      </w:r>
    </w:p>
    <w:p w14:paraId="0D74D71B" w14:textId="77777777" w:rsidR="00083C7E" w:rsidRDefault="00047EFE">
      <w:pPr>
        <w:tabs>
          <w:tab w:val="left" w:pos="284"/>
          <w:tab w:val="left" w:pos="567"/>
          <w:tab w:val="left" w:pos="1560"/>
        </w:tabs>
        <w:spacing w:after="120"/>
        <w:rPr>
          <w:rFonts w:ascii="Arial" w:hAnsi="Arial" w:cs="Arial"/>
          <w:color w:val="000000" w:themeColor="text1"/>
          <w:sz w:val="22"/>
          <w:szCs w:val="22"/>
        </w:rPr>
      </w:pPr>
      <w:r>
        <w:rPr>
          <w:rFonts w:ascii="Arial" w:hAnsi="Arial" w:cs="Arial"/>
          <w:color w:val="000000" w:themeColor="text1"/>
          <w:sz w:val="22"/>
          <w:szCs w:val="22"/>
        </w:rPr>
        <w:tab/>
        <w:t xml:space="preserve">4. </w:t>
      </w:r>
      <w:r>
        <w:rPr>
          <w:rFonts w:ascii="Arial" w:hAnsi="Arial" w:cs="Arial"/>
          <w:color w:val="000000" w:themeColor="text1"/>
          <w:sz w:val="22"/>
          <w:szCs w:val="22"/>
        </w:rPr>
        <w:tab/>
        <w:t xml:space="preserve">Orcid ID </w:t>
      </w:r>
      <w:r>
        <w:rPr>
          <w:rFonts w:ascii="Arial" w:hAnsi="Arial" w:cs="Arial"/>
          <w:color w:val="000000" w:themeColor="text1"/>
          <w:sz w:val="22"/>
          <w:szCs w:val="22"/>
        </w:rPr>
        <w:tab/>
        <w:t xml:space="preserve">: </w:t>
      </w:r>
      <w:r>
        <w:rPr>
          <w:rFonts w:ascii="Arial" w:eastAsia="Times New Roman" w:hAnsi="Arial" w:cs="Arial"/>
          <w:color w:val="000000" w:themeColor="text1"/>
          <w:sz w:val="22"/>
          <w:szCs w:val="22"/>
          <w:shd w:val="clear" w:color="auto" w:fill="FFFFFF"/>
        </w:rPr>
        <w:t>https://orcid.org/0000-0002-1999-4039</w:t>
      </w:r>
    </w:p>
    <w:p w14:paraId="566CEB4B"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5. </w:t>
      </w:r>
      <w:r>
        <w:rPr>
          <w:rFonts w:ascii="Arial" w:hAnsi="Arial" w:cs="Arial"/>
          <w:sz w:val="22"/>
          <w:szCs w:val="22"/>
        </w:rPr>
        <w:tab/>
      </w:r>
      <w:r>
        <w:rPr>
          <w:rFonts w:ascii="Arial" w:hAnsi="Arial"/>
          <w:sz w:val="22"/>
          <w:szCs w:val="22"/>
        </w:rPr>
        <w:t>Contributions to this manuscript: Other Authors</w:t>
      </w:r>
    </w:p>
    <w:p w14:paraId="2B8B76D6"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sz w:val="22"/>
          <w:szCs w:val="22"/>
        </w:rPr>
        <w:t>Sixth Author</w:t>
      </w:r>
      <w:r>
        <w:rPr>
          <w:rFonts w:ascii="Arial" w:hAnsi="Arial" w:cs="Arial"/>
          <w:sz w:val="22"/>
          <w:szCs w:val="22"/>
        </w:rPr>
        <w:t>:</w:t>
      </w:r>
    </w:p>
    <w:p w14:paraId="205ABA5F"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1. </w:t>
      </w:r>
      <w:r>
        <w:rPr>
          <w:rFonts w:ascii="Arial" w:hAnsi="Arial" w:cs="Arial"/>
          <w:sz w:val="22"/>
          <w:szCs w:val="22"/>
        </w:rPr>
        <w:tab/>
        <w:t>Nam</w:t>
      </w:r>
      <w:r>
        <w:rPr>
          <w:rFonts w:ascii="Arial" w:hAnsi="Arial" w:cs="Arial"/>
          <w:sz w:val="22"/>
          <w:szCs w:val="22"/>
        </w:rPr>
        <w:t>e</w:t>
      </w:r>
      <w:r>
        <w:rPr>
          <w:rFonts w:ascii="Arial" w:hAnsi="Arial" w:cs="Arial"/>
          <w:sz w:val="22"/>
          <w:szCs w:val="22"/>
        </w:rPr>
        <w:t xml:space="preserve"> </w:t>
      </w:r>
      <w:r>
        <w:rPr>
          <w:rFonts w:ascii="Arial" w:hAnsi="Arial" w:cs="Arial"/>
          <w:sz w:val="22"/>
          <w:szCs w:val="22"/>
        </w:rPr>
        <w:tab/>
        <w:t>: Andi Chadijah</w:t>
      </w:r>
    </w:p>
    <w:p w14:paraId="53ACA50E"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2. </w:t>
      </w:r>
      <w:r>
        <w:rPr>
          <w:rFonts w:ascii="Arial" w:hAnsi="Arial" w:cs="Arial"/>
          <w:sz w:val="22"/>
          <w:szCs w:val="22"/>
        </w:rPr>
        <w:tab/>
      </w:r>
      <w:r>
        <w:rPr>
          <w:rFonts w:ascii="Arial" w:hAnsi="Arial" w:cs="Arial"/>
          <w:sz w:val="22"/>
          <w:szCs w:val="22"/>
        </w:rPr>
        <w:t>A</w:t>
      </w:r>
      <w:r>
        <w:rPr>
          <w:rFonts w:ascii="Arial" w:hAnsi="Arial"/>
          <w:sz w:val="22"/>
          <w:szCs w:val="22"/>
        </w:rPr>
        <w:t>ffiliation</w:t>
      </w:r>
      <w:r>
        <w:rPr>
          <w:rFonts w:ascii="Arial" w:hAnsi="Arial" w:cs="Arial"/>
          <w:color w:val="000000" w:themeColor="text1"/>
          <w:sz w:val="22"/>
          <w:szCs w:val="22"/>
        </w:rPr>
        <w:t xml:space="preserve"> </w:t>
      </w:r>
      <w:r>
        <w:rPr>
          <w:rFonts w:ascii="Arial" w:hAnsi="Arial" w:cs="Arial"/>
          <w:sz w:val="22"/>
          <w:szCs w:val="22"/>
        </w:rPr>
        <w:tab/>
        <w:t xml:space="preserve">: </w:t>
      </w:r>
      <w:r>
        <w:rPr>
          <w:rFonts w:ascii="Arial" w:hAnsi="Arial"/>
          <w:sz w:val="22"/>
          <w:szCs w:val="22"/>
        </w:rPr>
        <w:t>University of Muhammadiyah Makassar</w:t>
      </w:r>
    </w:p>
    <w:p w14:paraId="2144DC0F"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lastRenderedPageBreak/>
        <w:tab/>
        <w:t xml:space="preserve">3. </w:t>
      </w:r>
      <w:r>
        <w:rPr>
          <w:rFonts w:ascii="Arial" w:hAnsi="Arial" w:cs="Arial"/>
          <w:sz w:val="22"/>
          <w:szCs w:val="22"/>
        </w:rPr>
        <w:tab/>
        <w:t xml:space="preserve">E-mail </w:t>
      </w:r>
      <w:r>
        <w:rPr>
          <w:rFonts w:ascii="Arial" w:hAnsi="Arial" w:cs="Arial"/>
          <w:sz w:val="22"/>
          <w:szCs w:val="22"/>
        </w:rPr>
        <w:tab/>
        <w:t>: andichadijah@gmail.com</w:t>
      </w:r>
    </w:p>
    <w:p w14:paraId="69BAFA59" w14:textId="77777777" w:rsidR="00083C7E" w:rsidRDefault="00047EFE">
      <w:pPr>
        <w:tabs>
          <w:tab w:val="left" w:pos="284"/>
          <w:tab w:val="left" w:pos="567"/>
          <w:tab w:val="left" w:pos="1560"/>
        </w:tabs>
        <w:spacing w:after="120"/>
        <w:ind w:left="284"/>
        <w:rPr>
          <w:rFonts w:ascii="Arial" w:hAnsi="Arial" w:cs="Arial"/>
          <w:sz w:val="22"/>
          <w:szCs w:val="22"/>
        </w:rPr>
      </w:pPr>
      <w:r>
        <w:rPr>
          <w:rFonts w:ascii="Arial" w:hAnsi="Arial" w:cs="Arial"/>
          <w:sz w:val="22"/>
          <w:szCs w:val="22"/>
        </w:rPr>
        <w:t xml:space="preserve">4. </w:t>
      </w:r>
      <w:r>
        <w:rPr>
          <w:rFonts w:ascii="Arial" w:hAnsi="Arial" w:cs="Arial"/>
          <w:sz w:val="22"/>
          <w:szCs w:val="22"/>
        </w:rPr>
        <w:tab/>
        <w:t xml:space="preserve">Orcid ID </w:t>
      </w:r>
      <w:r>
        <w:rPr>
          <w:rFonts w:ascii="Arial" w:hAnsi="Arial" w:cs="Arial"/>
          <w:sz w:val="22"/>
          <w:szCs w:val="22"/>
        </w:rPr>
        <w:tab/>
        <w:t xml:space="preserve">: </w:t>
      </w:r>
      <w:r>
        <w:rPr>
          <w:rFonts w:ascii="Arial" w:eastAsia="Times New Roman" w:hAnsi="Arial" w:cs="Arial"/>
          <w:color w:val="494A4C"/>
          <w:sz w:val="22"/>
          <w:szCs w:val="22"/>
          <w:shd w:val="clear" w:color="auto" w:fill="FFFFFF"/>
        </w:rPr>
        <w:t>https://orcid.org/0000-0002-4596-4511</w:t>
      </w:r>
    </w:p>
    <w:p w14:paraId="45230C70"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5. </w:t>
      </w:r>
      <w:r>
        <w:rPr>
          <w:rFonts w:ascii="Arial" w:hAnsi="Arial" w:cs="Arial"/>
          <w:sz w:val="22"/>
          <w:szCs w:val="22"/>
        </w:rPr>
        <w:tab/>
      </w:r>
      <w:r>
        <w:rPr>
          <w:rFonts w:ascii="Arial" w:hAnsi="Arial"/>
          <w:sz w:val="22"/>
          <w:szCs w:val="22"/>
        </w:rPr>
        <w:t xml:space="preserve">Contributions </w:t>
      </w:r>
      <w:r>
        <w:rPr>
          <w:rFonts w:ascii="Arial" w:hAnsi="Arial"/>
          <w:sz w:val="22"/>
          <w:szCs w:val="22"/>
        </w:rPr>
        <w:t>to this manuscript: Other Authors</w:t>
      </w:r>
      <w:r>
        <w:rPr>
          <w:rFonts w:ascii="Arial" w:hAnsi="Arial" w:cs="Arial"/>
          <w:sz w:val="22"/>
          <w:szCs w:val="22"/>
        </w:rPr>
        <w:t xml:space="preserve"> </w:t>
      </w:r>
    </w:p>
    <w:p w14:paraId="6CA0F1F0"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r>
      <w:r>
        <w:rPr>
          <w:rFonts w:ascii="Arial" w:hAnsi="Arial"/>
          <w:sz w:val="22"/>
          <w:szCs w:val="22"/>
        </w:rPr>
        <w:t>Seventh Author</w:t>
      </w:r>
      <w:r>
        <w:rPr>
          <w:rFonts w:ascii="Arial" w:hAnsi="Arial" w:cs="Arial"/>
          <w:sz w:val="22"/>
          <w:szCs w:val="22"/>
        </w:rPr>
        <w:t>:</w:t>
      </w:r>
    </w:p>
    <w:p w14:paraId="756E6870"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1. </w:t>
      </w:r>
      <w:r>
        <w:rPr>
          <w:rFonts w:ascii="Arial" w:hAnsi="Arial" w:cs="Arial"/>
          <w:sz w:val="22"/>
          <w:szCs w:val="22"/>
        </w:rPr>
        <w:tab/>
        <w:t>Nam</w:t>
      </w:r>
      <w:r>
        <w:rPr>
          <w:rFonts w:ascii="Arial" w:hAnsi="Arial" w:cs="Arial"/>
          <w:sz w:val="22"/>
          <w:szCs w:val="22"/>
        </w:rPr>
        <w:t>e</w:t>
      </w:r>
      <w:r>
        <w:rPr>
          <w:rFonts w:ascii="Arial" w:hAnsi="Arial" w:cs="Arial"/>
          <w:sz w:val="22"/>
          <w:szCs w:val="22"/>
        </w:rPr>
        <w:t xml:space="preserve"> </w:t>
      </w:r>
      <w:r>
        <w:rPr>
          <w:rFonts w:ascii="Arial" w:hAnsi="Arial" w:cs="Arial"/>
          <w:sz w:val="22"/>
          <w:szCs w:val="22"/>
        </w:rPr>
        <w:tab/>
        <w:t>: Dida Ardiyana</w:t>
      </w:r>
    </w:p>
    <w:p w14:paraId="27A99264"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2. </w:t>
      </w:r>
      <w:r>
        <w:rPr>
          <w:rFonts w:ascii="Arial" w:hAnsi="Arial" w:cs="Arial"/>
          <w:sz w:val="22"/>
          <w:szCs w:val="22"/>
        </w:rPr>
        <w:tab/>
      </w:r>
      <w:r>
        <w:rPr>
          <w:rFonts w:ascii="Arial" w:hAnsi="Arial" w:cs="Arial"/>
          <w:sz w:val="22"/>
          <w:szCs w:val="22"/>
        </w:rPr>
        <w:t>A</w:t>
      </w:r>
      <w:r>
        <w:rPr>
          <w:rFonts w:ascii="Arial" w:hAnsi="Arial"/>
          <w:sz w:val="22"/>
          <w:szCs w:val="22"/>
        </w:rPr>
        <w:t>ffiliation</w:t>
      </w:r>
      <w:r>
        <w:rPr>
          <w:rFonts w:ascii="Arial" w:hAnsi="Arial" w:cs="Arial"/>
          <w:color w:val="000000" w:themeColor="text1"/>
          <w:sz w:val="22"/>
          <w:szCs w:val="22"/>
        </w:rPr>
        <w:t xml:space="preserve"> </w:t>
      </w:r>
      <w:r>
        <w:rPr>
          <w:rFonts w:ascii="Arial" w:hAnsi="Arial" w:cs="Arial"/>
          <w:sz w:val="22"/>
          <w:szCs w:val="22"/>
        </w:rPr>
        <w:tab/>
        <w:t>: Pertamina DPPU Hasanuddin</w:t>
      </w:r>
    </w:p>
    <w:p w14:paraId="2F61C9FD"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3. </w:t>
      </w:r>
      <w:r>
        <w:rPr>
          <w:rFonts w:ascii="Arial" w:hAnsi="Arial" w:cs="Arial"/>
          <w:sz w:val="22"/>
          <w:szCs w:val="22"/>
        </w:rPr>
        <w:tab/>
        <w:t xml:space="preserve">E-mail </w:t>
      </w:r>
      <w:r>
        <w:rPr>
          <w:rFonts w:ascii="Arial" w:hAnsi="Arial" w:cs="Arial"/>
          <w:sz w:val="22"/>
          <w:szCs w:val="22"/>
        </w:rPr>
        <w:tab/>
        <w:t>: ardian0104@gmail.com</w:t>
      </w:r>
    </w:p>
    <w:p w14:paraId="558EC993" w14:textId="77777777" w:rsidR="00083C7E" w:rsidRDefault="00047EFE">
      <w:pPr>
        <w:tabs>
          <w:tab w:val="left" w:pos="284"/>
          <w:tab w:val="left" w:pos="567"/>
          <w:tab w:val="left" w:pos="1560"/>
        </w:tabs>
        <w:spacing w:after="120"/>
        <w:ind w:left="284"/>
        <w:rPr>
          <w:rFonts w:ascii="Arial" w:hAnsi="Arial" w:cs="Arial"/>
          <w:sz w:val="22"/>
          <w:szCs w:val="22"/>
        </w:rPr>
      </w:pPr>
      <w:r>
        <w:rPr>
          <w:rFonts w:ascii="Arial" w:hAnsi="Arial" w:cs="Arial"/>
          <w:sz w:val="22"/>
          <w:szCs w:val="22"/>
        </w:rPr>
        <w:t xml:space="preserve">4. </w:t>
      </w:r>
      <w:r>
        <w:rPr>
          <w:rFonts w:ascii="Arial" w:hAnsi="Arial" w:cs="Arial"/>
          <w:sz w:val="22"/>
          <w:szCs w:val="22"/>
        </w:rPr>
        <w:tab/>
        <w:t xml:space="preserve">Orcid ID </w:t>
      </w:r>
      <w:r>
        <w:rPr>
          <w:rFonts w:ascii="Arial" w:hAnsi="Arial" w:cs="Arial"/>
          <w:sz w:val="22"/>
          <w:szCs w:val="22"/>
        </w:rPr>
        <w:tab/>
        <w:t xml:space="preserve">: </w:t>
      </w:r>
      <w:r>
        <w:rPr>
          <w:rFonts w:ascii="Arial" w:eastAsia="Times New Roman" w:hAnsi="Arial" w:cs="Arial"/>
          <w:color w:val="494A4C"/>
          <w:sz w:val="22"/>
          <w:szCs w:val="22"/>
          <w:shd w:val="clear" w:color="auto" w:fill="FFFFFF"/>
        </w:rPr>
        <w:t>https://orcid.org/0000-0001-7000-9287</w:t>
      </w:r>
    </w:p>
    <w:p w14:paraId="61D7DDFF"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ab/>
        <w:t xml:space="preserve">5. </w:t>
      </w:r>
      <w:r>
        <w:rPr>
          <w:rFonts w:ascii="Arial" w:hAnsi="Arial" w:cs="Arial"/>
          <w:sz w:val="22"/>
          <w:szCs w:val="22"/>
        </w:rPr>
        <w:tab/>
      </w:r>
      <w:r>
        <w:rPr>
          <w:rFonts w:ascii="Arial" w:hAnsi="Arial"/>
          <w:sz w:val="22"/>
          <w:szCs w:val="22"/>
        </w:rPr>
        <w:t>Contributions to this manuscript: Ot</w:t>
      </w:r>
      <w:r>
        <w:rPr>
          <w:rFonts w:ascii="Arial" w:hAnsi="Arial"/>
          <w:sz w:val="22"/>
          <w:szCs w:val="22"/>
        </w:rPr>
        <w:t>her Authors</w:t>
      </w:r>
      <w:r>
        <w:rPr>
          <w:rFonts w:ascii="Arial" w:hAnsi="Arial" w:cs="Arial"/>
          <w:sz w:val="22"/>
          <w:szCs w:val="22"/>
        </w:rPr>
        <w:t xml:space="preserve"> </w:t>
      </w:r>
    </w:p>
    <w:p w14:paraId="316C786C" w14:textId="77777777" w:rsidR="00083C7E" w:rsidRDefault="00083C7E">
      <w:pPr>
        <w:tabs>
          <w:tab w:val="left" w:pos="284"/>
          <w:tab w:val="left" w:pos="567"/>
          <w:tab w:val="left" w:pos="1560"/>
        </w:tabs>
        <w:spacing w:after="120"/>
        <w:rPr>
          <w:rFonts w:ascii="Arial" w:hAnsi="Arial" w:cs="Arial"/>
          <w:sz w:val="22"/>
          <w:szCs w:val="22"/>
        </w:rPr>
      </w:pPr>
    </w:p>
    <w:p w14:paraId="29549995" w14:textId="77777777" w:rsidR="00083C7E" w:rsidRDefault="00083C7E">
      <w:pPr>
        <w:tabs>
          <w:tab w:val="left" w:pos="284"/>
          <w:tab w:val="left" w:pos="567"/>
          <w:tab w:val="left" w:pos="1560"/>
        </w:tabs>
        <w:spacing w:after="120"/>
        <w:rPr>
          <w:rFonts w:ascii="Arial" w:hAnsi="Arial" w:cs="Arial"/>
          <w:sz w:val="22"/>
          <w:szCs w:val="22"/>
        </w:rPr>
      </w:pPr>
    </w:p>
    <w:p w14:paraId="2D94B482" w14:textId="77777777" w:rsidR="00083C7E" w:rsidRDefault="00047EFE">
      <w:pPr>
        <w:tabs>
          <w:tab w:val="left" w:pos="284"/>
          <w:tab w:val="left" w:pos="567"/>
          <w:tab w:val="left" w:pos="1560"/>
        </w:tabs>
        <w:spacing w:after="120"/>
        <w:rPr>
          <w:rFonts w:ascii="Arial" w:hAnsi="Arial" w:cs="Arial"/>
          <w:sz w:val="22"/>
          <w:szCs w:val="22"/>
        </w:rPr>
      </w:pPr>
      <w:r>
        <w:rPr>
          <w:rFonts w:ascii="Arial" w:hAnsi="Arial" w:cs="Arial"/>
          <w:sz w:val="22"/>
          <w:szCs w:val="22"/>
        </w:rPr>
        <w:t xml:space="preserve"> </w:t>
      </w:r>
    </w:p>
    <w:p w14:paraId="3CDDAEBA" w14:textId="77777777" w:rsidR="00083C7E" w:rsidRDefault="00083C7E">
      <w:pPr>
        <w:tabs>
          <w:tab w:val="left" w:pos="284"/>
          <w:tab w:val="left" w:pos="567"/>
          <w:tab w:val="left" w:pos="1560"/>
        </w:tabs>
        <w:spacing w:after="120"/>
        <w:rPr>
          <w:rFonts w:ascii="Arial" w:hAnsi="Arial" w:cs="Arial"/>
          <w:sz w:val="22"/>
          <w:szCs w:val="22"/>
        </w:rPr>
      </w:pPr>
    </w:p>
    <w:p w14:paraId="1F84E4B2" w14:textId="77777777" w:rsidR="00083C7E" w:rsidRDefault="00083C7E">
      <w:pPr>
        <w:tabs>
          <w:tab w:val="left" w:pos="284"/>
          <w:tab w:val="left" w:pos="567"/>
          <w:tab w:val="left" w:pos="1560"/>
        </w:tabs>
        <w:spacing w:after="120"/>
        <w:rPr>
          <w:rFonts w:ascii="Arial" w:hAnsi="Arial" w:cs="Arial"/>
          <w:sz w:val="22"/>
          <w:szCs w:val="22"/>
        </w:rPr>
      </w:pPr>
    </w:p>
    <w:p w14:paraId="4846534F" w14:textId="77777777" w:rsidR="00083C7E" w:rsidRDefault="00047EFE">
      <w:pPr>
        <w:rPr>
          <w:rFonts w:ascii="Arial" w:hAnsi="Arial" w:cs="Arial"/>
          <w:sz w:val="32"/>
        </w:rPr>
      </w:pPr>
      <w:r>
        <w:rPr>
          <w:rFonts w:ascii="Arial" w:hAnsi="Arial" w:cs="Arial"/>
          <w:sz w:val="32"/>
        </w:rPr>
        <w:br w:type="page"/>
      </w:r>
    </w:p>
    <w:p w14:paraId="4CF6E4F3" w14:textId="77777777" w:rsidR="00083C7E" w:rsidRDefault="00047EFE" w:rsidP="0060416A">
      <w:pPr>
        <w:jc w:val="center"/>
        <w:outlineLvl w:val="0"/>
        <w:rPr>
          <w:rFonts w:ascii="Arial" w:hAnsi="Arial" w:cs="Arial"/>
          <w:b/>
          <w:sz w:val="22"/>
          <w:szCs w:val="22"/>
          <w:u w:val="single"/>
        </w:rPr>
      </w:pPr>
      <w:r>
        <w:rPr>
          <w:rFonts w:ascii="Arial" w:hAnsi="Arial"/>
          <w:b/>
          <w:sz w:val="22"/>
          <w:szCs w:val="22"/>
          <w:u w:val="single"/>
        </w:rPr>
        <w:lastRenderedPageBreak/>
        <w:t>Journal of Fisheries, Gadjah Mada University</w:t>
      </w:r>
    </w:p>
    <w:p w14:paraId="36BA23A8" w14:textId="77777777" w:rsidR="00083C7E" w:rsidRDefault="00083C7E">
      <w:pPr>
        <w:rPr>
          <w:rFonts w:ascii="Arial" w:hAnsi="Arial" w:cs="Arial"/>
        </w:rPr>
      </w:pPr>
    </w:p>
    <w:p w14:paraId="1DF6B4A8" w14:textId="77777777" w:rsidR="00083C7E" w:rsidRDefault="00047EFE">
      <w:pPr>
        <w:jc w:val="center"/>
        <w:rPr>
          <w:rFonts w:ascii="Arial" w:hAnsi="Arial" w:cs="Arial"/>
        </w:rPr>
      </w:pPr>
      <w:r>
        <w:rPr>
          <w:rFonts w:ascii="Arial" w:hAnsi="Arial" w:cs="Arial"/>
        </w:rPr>
        <w:t>The Growth Performance of Tilapia (</w:t>
      </w:r>
      <w:r>
        <w:rPr>
          <w:rFonts w:ascii="Arial" w:hAnsi="Arial" w:cs="Arial"/>
          <w:i/>
        </w:rPr>
        <w:t>Oreochromis niloticus</w:t>
      </w:r>
      <w:r>
        <w:rPr>
          <w:rFonts w:ascii="Arial" w:hAnsi="Arial" w:cs="Arial"/>
        </w:rPr>
        <w:t>) Seeds Fed with Different Quantities of a Symbiont Feed.</w:t>
      </w:r>
    </w:p>
    <w:p w14:paraId="1C7D5598" w14:textId="77777777" w:rsidR="00083C7E" w:rsidRDefault="00083C7E">
      <w:pPr>
        <w:rPr>
          <w:rFonts w:ascii="Arial" w:hAnsi="Arial" w:cs="Arial"/>
        </w:rPr>
      </w:pPr>
    </w:p>
    <w:p w14:paraId="0F49636A" w14:textId="77777777" w:rsidR="00083C7E" w:rsidRDefault="00047EFE">
      <w:pPr>
        <w:jc w:val="center"/>
        <w:rPr>
          <w:rFonts w:ascii="Arial" w:hAnsi="Arial" w:cs="Arial"/>
          <w:b/>
          <w:sz w:val="20"/>
          <w:vertAlign w:val="superscript"/>
        </w:rPr>
      </w:pPr>
      <w:r>
        <w:rPr>
          <w:rFonts w:ascii="Arial" w:hAnsi="Arial" w:cs="Arial"/>
          <w:b/>
          <w:sz w:val="20"/>
        </w:rPr>
        <w:t>Rahmi</w:t>
      </w:r>
      <w:r>
        <w:rPr>
          <w:rFonts w:ascii="Arial" w:hAnsi="Arial" w:cs="Arial"/>
          <w:b/>
          <w:sz w:val="20"/>
          <w:vertAlign w:val="superscript"/>
        </w:rPr>
        <w:t>1*</w:t>
      </w:r>
      <w:r>
        <w:rPr>
          <w:rFonts w:ascii="Arial" w:hAnsi="Arial" w:cs="Arial"/>
          <w:b/>
          <w:sz w:val="20"/>
        </w:rPr>
        <w:t>, Andi Ninnong Renita Relatami</w:t>
      </w:r>
      <w:r>
        <w:rPr>
          <w:rFonts w:ascii="Arial" w:hAnsi="Arial" w:cs="Arial"/>
          <w:b/>
          <w:sz w:val="20"/>
          <w:vertAlign w:val="superscript"/>
        </w:rPr>
        <w:t>2</w:t>
      </w:r>
      <w:r>
        <w:rPr>
          <w:rFonts w:ascii="Arial" w:hAnsi="Arial" w:cs="Arial"/>
          <w:b/>
          <w:sz w:val="20"/>
        </w:rPr>
        <w:t>, Akmal</w:t>
      </w:r>
      <w:r>
        <w:rPr>
          <w:rFonts w:ascii="Arial" w:hAnsi="Arial" w:cs="Arial"/>
          <w:b/>
          <w:sz w:val="20"/>
          <w:vertAlign w:val="superscript"/>
        </w:rPr>
        <w:t>3</w:t>
      </w:r>
      <w:r>
        <w:rPr>
          <w:rFonts w:ascii="Arial" w:hAnsi="Arial" w:cs="Arial"/>
          <w:b/>
          <w:sz w:val="20"/>
        </w:rPr>
        <w:t>, Sri Wahyuni Firman</w:t>
      </w:r>
      <w:r>
        <w:rPr>
          <w:rFonts w:ascii="Arial" w:hAnsi="Arial" w:cs="Arial"/>
          <w:b/>
          <w:sz w:val="20"/>
          <w:vertAlign w:val="superscript"/>
        </w:rPr>
        <w:t>4</w:t>
      </w:r>
      <w:r>
        <w:rPr>
          <w:rFonts w:ascii="Arial" w:hAnsi="Arial" w:cs="Arial"/>
          <w:b/>
          <w:sz w:val="20"/>
        </w:rPr>
        <w:t>, Bunga</w:t>
      </w:r>
      <w:r>
        <w:rPr>
          <w:rFonts w:ascii="Arial" w:hAnsi="Arial" w:cs="Arial"/>
          <w:b/>
          <w:sz w:val="20"/>
        </w:rPr>
        <w:t xml:space="preserve"> Rante Tampangallo</w:t>
      </w:r>
      <w:r>
        <w:rPr>
          <w:rFonts w:ascii="Arial" w:hAnsi="Arial" w:cs="Arial"/>
          <w:b/>
          <w:sz w:val="20"/>
          <w:vertAlign w:val="superscript"/>
        </w:rPr>
        <w:t>5</w:t>
      </w:r>
      <w:r>
        <w:rPr>
          <w:rFonts w:ascii="Arial" w:hAnsi="Arial" w:cs="Arial"/>
          <w:b/>
          <w:sz w:val="20"/>
        </w:rPr>
        <w:t>, Andi Chadijah</w:t>
      </w:r>
      <w:r>
        <w:rPr>
          <w:rFonts w:ascii="Arial" w:hAnsi="Arial" w:cs="Arial"/>
          <w:b/>
          <w:sz w:val="20"/>
          <w:vertAlign w:val="superscript"/>
        </w:rPr>
        <w:t>1</w:t>
      </w:r>
      <w:r>
        <w:rPr>
          <w:rFonts w:ascii="Arial" w:hAnsi="Arial" w:cs="Arial"/>
          <w:b/>
          <w:sz w:val="20"/>
        </w:rPr>
        <w:t>, Dida Ardiyana</w:t>
      </w:r>
      <w:r>
        <w:rPr>
          <w:rFonts w:ascii="Arial" w:hAnsi="Arial" w:cs="Arial"/>
          <w:b/>
          <w:sz w:val="20"/>
          <w:vertAlign w:val="superscript"/>
        </w:rPr>
        <w:t>6</w:t>
      </w:r>
    </w:p>
    <w:p w14:paraId="0D77A005" w14:textId="77777777" w:rsidR="00083C7E" w:rsidRDefault="00083C7E">
      <w:pPr>
        <w:rPr>
          <w:rFonts w:ascii="Arial" w:hAnsi="Arial" w:cs="Arial"/>
          <w:i/>
        </w:rPr>
      </w:pPr>
    </w:p>
    <w:p w14:paraId="4142905F" w14:textId="77777777" w:rsidR="00083C7E" w:rsidRDefault="00047EFE">
      <w:pPr>
        <w:jc w:val="center"/>
        <w:rPr>
          <w:rFonts w:ascii="Arial" w:hAnsi="Arial" w:cs="Arial"/>
          <w:i/>
          <w:sz w:val="20"/>
        </w:rPr>
      </w:pPr>
      <w:r>
        <w:rPr>
          <w:rFonts w:ascii="Arial" w:hAnsi="Arial" w:cs="Arial"/>
          <w:i/>
          <w:sz w:val="20"/>
          <w:vertAlign w:val="superscript"/>
        </w:rPr>
        <w:t>1</w:t>
      </w:r>
      <w:r>
        <w:rPr>
          <w:rFonts w:ascii="Arial" w:hAnsi="Arial"/>
          <w:i/>
          <w:sz w:val="20"/>
        </w:rPr>
        <w:t>Aquaculture Study Program, Faculty of Agriculture, University of Muhammadiyah Makassar</w:t>
      </w:r>
    </w:p>
    <w:p w14:paraId="31A95AF6" w14:textId="77777777" w:rsidR="00083C7E" w:rsidRDefault="00047EFE">
      <w:pPr>
        <w:jc w:val="center"/>
        <w:rPr>
          <w:rFonts w:ascii="Arial" w:hAnsi="Arial" w:cs="Arial"/>
          <w:i/>
          <w:sz w:val="20"/>
        </w:rPr>
      </w:pPr>
      <w:r>
        <w:rPr>
          <w:rFonts w:ascii="Arial" w:hAnsi="Arial" w:cs="Arial"/>
          <w:i/>
          <w:sz w:val="20"/>
          <w:vertAlign w:val="superscript"/>
        </w:rPr>
        <w:t>2</w:t>
      </w:r>
      <w:r>
        <w:rPr>
          <w:rFonts w:ascii="Arial" w:hAnsi="Arial" w:cs="Arial"/>
          <w:i/>
          <w:sz w:val="20"/>
          <w:vertAlign w:val="superscript"/>
        </w:rPr>
        <w:t xml:space="preserve"> </w:t>
      </w:r>
      <w:r>
        <w:rPr>
          <w:rFonts w:ascii="Arial" w:hAnsi="Arial"/>
          <w:i/>
          <w:sz w:val="20"/>
        </w:rPr>
        <w:t>Veterinary Medicine Study Program, Faculty of Medicine, Hasanuddin University</w:t>
      </w:r>
    </w:p>
    <w:p w14:paraId="49137006" w14:textId="77777777" w:rsidR="00083C7E" w:rsidRDefault="00047EFE">
      <w:pPr>
        <w:jc w:val="center"/>
        <w:rPr>
          <w:rFonts w:ascii="Arial" w:hAnsi="Arial" w:cs="Arial"/>
          <w:i/>
          <w:sz w:val="20"/>
        </w:rPr>
      </w:pPr>
      <w:r>
        <w:rPr>
          <w:rFonts w:ascii="Arial" w:hAnsi="Arial" w:cs="Arial"/>
          <w:i/>
          <w:sz w:val="20"/>
          <w:vertAlign w:val="superscript"/>
        </w:rPr>
        <w:t>3</w:t>
      </w:r>
      <w:r>
        <w:rPr>
          <w:rFonts w:ascii="Arial" w:hAnsi="Arial" w:cs="Arial"/>
          <w:i/>
          <w:sz w:val="20"/>
          <w:vertAlign w:val="superscript"/>
        </w:rPr>
        <w:t xml:space="preserve"> </w:t>
      </w:r>
      <w:r>
        <w:rPr>
          <w:rFonts w:ascii="Arial" w:hAnsi="Arial"/>
          <w:i/>
          <w:sz w:val="20"/>
        </w:rPr>
        <w:t>Takalar Brackish Water Cultivatio</w:t>
      </w:r>
      <w:r>
        <w:rPr>
          <w:rFonts w:ascii="Arial" w:hAnsi="Arial"/>
          <w:i/>
          <w:sz w:val="20"/>
        </w:rPr>
        <w:t>n Fisheries Center</w:t>
      </w:r>
    </w:p>
    <w:p w14:paraId="09BD7C29" w14:textId="77777777" w:rsidR="00083C7E" w:rsidRDefault="00047EFE">
      <w:pPr>
        <w:jc w:val="center"/>
        <w:rPr>
          <w:rFonts w:ascii="Arial" w:hAnsi="Arial" w:cs="Arial"/>
          <w:i/>
          <w:sz w:val="20"/>
        </w:rPr>
      </w:pPr>
      <w:r>
        <w:rPr>
          <w:rFonts w:ascii="Arial" w:hAnsi="Arial" w:cs="Arial"/>
          <w:i/>
          <w:sz w:val="20"/>
          <w:vertAlign w:val="superscript"/>
        </w:rPr>
        <w:t>4</w:t>
      </w:r>
      <w:r>
        <w:rPr>
          <w:rFonts w:ascii="Arial" w:hAnsi="Arial"/>
          <w:i/>
          <w:sz w:val="20"/>
        </w:rPr>
        <w:t>Aquaculture Study Program, Faculty of Science and Technology, Muhammadiyah Education University Sorong</w:t>
      </w:r>
    </w:p>
    <w:p w14:paraId="4550EC8A" w14:textId="77777777" w:rsidR="00083C7E" w:rsidRDefault="00047EFE">
      <w:pPr>
        <w:jc w:val="center"/>
        <w:rPr>
          <w:rFonts w:ascii="Arial" w:hAnsi="Arial" w:cs="Arial"/>
          <w:i/>
          <w:sz w:val="20"/>
        </w:rPr>
      </w:pPr>
      <w:r>
        <w:rPr>
          <w:rFonts w:ascii="Arial" w:hAnsi="Arial" w:cs="Arial"/>
          <w:i/>
          <w:sz w:val="20"/>
          <w:vertAlign w:val="superscript"/>
        </w:rPr>
        <w:t>5</w:t>
      </w:r>
      <w:r>
        <w:rPr>
          <w:rFonts w:ascii="Arial" w:hAnsi="Arial" w:cs="Arial"/>
          <w:i/>
          <w:sz w:val="20"/>
        </w:rPr>
        <w:t>Research Institute For Coastal Aquaculture and Fisheries Extension (RICAFE)</w:t>
      </w:r>
    </w:p>
    <w:p w14:paraId="4C8F3416" w14:textId="77777777" w:rsidR="00083C7E" w:rsidRDefault="00047EFE">
      <w:pPr>
        <w:jc w:val="center"/>
        <w:rPr>
          <w:rFonts w:ascii="Arial" w:hAnsi="Arial" w:cs="Arial"/>
          <w:i/>
          <w:sz w:val="20"/>
        </w:rPr>
      </w:pPr>
      <w:r>
        <w:rPr>
          <w:rFonts w:ascii="Arial" w:hAnsi="Arial" w:cs="Arial"/>
          <w:i/>
          <w:sz w:val="20"/>
          <w:vertAlign w:val="superscript"/>
        </w:rPr>
        <w:t>6</w:t>
      </w:r>
      <w:r>
        <w:rPr>
          <w:rFonts w:ascii="Arial" w:hAnsi="Arial" w:cs="Arial"/>
          <w:i/>
          <w:sz w:val="20"/>
        </w:rPr>
        <w:t>Pertamina DPPU Hasanuddin Makassar</w:t>
      </w:r>
    </w:p>
    <w:p w14:paraId="2CCE148C" w14:textId="77777777" w:rsidR="00083C7E" w:rsidRDefault="00047EFE">
      <w:pPr>
        <w:jc w:val="center"/>
        <w:rPr>
          <w:rFonts w:ascii="Arial" w:hAnsi="Arial" w:cs="Arial"/>
          <w:i/>
          <w:sz w:val="20"/>
          <w:szCs w:val="20"/>
        </w:rPr>
      </w:pPr>
      <w:r>
        <w:rPr>
          <w:rFonts w:ascii="Arial" w:hAnsi="Arial" w:cs="Arial"/>
          <w:i/>
          <w:sz w:val="20"/>
          <w:szCs w:val="20"/>
          <w:lang w:val="id-ID"/>
        </w:rPr>
        <w:t>*</w:t>
      </w:r>
      <w:r>
        <w:rPr>
          <w:rFonts w:ascii="Arial" w:hAnsi="Arial"/>
          <w:i/>
          <w:sz w:val="20"/>
          <w:szCs w:val="20"/>
          <w:lang w:val="id-ID"/>
        </w:rPr>
        <w:t xml:space="preserve">Corresponding </w:t>
      </w:r>
      <w:r>
        <w:rPr>
          <w:rFonts w:ascii="Arial" w:hAnsi="Arial"/>
          <w:i/>
          <w:sz w:val="20"/>
          <w:szCs w:val="20"/>
          <w:lang w:val="id-ID"/>
        </w:rPr>
        <w:t>Author</w:t>
      </w:r>
      <w:r>
        <w:rPr>
          <w:rFonts w:ascii="Arial" w:hAnsi="Arial" w:cs="Arial"/>
          <w:i/>
          <w:sz w:val="20"/>
          <w:szCs w:val="20"/>
        </w:rPr>
        <w:t xml:space="preserve">: </w:t>
      </w:r>
      <w:r>
        <w:rPr>
          <w:rFonts w:ascii="Arial" w:hAnsi="Arial" w:cs="Arial"/>
          <w:i/>
          <w:sz w:val="20"/>
          <w:szCs w:val="20"/>
          <w:lang w:val="id-ID"/>
        </w:rPr>
        <w:t>rahmiperikanan@unismuh.ac.id</w:t>
      </w:r>
    </w:p>
    <w:p w14:paraId="78F70F8E" w14:textId="77777777" w:rsidR="00083C7E" w:rsidRDefault="00083C7E">
      <w:pPr>
        <w:rPr>
          <w:rFonts w:ascii="Arial" w:hAnsi="Arial" w:cs="Arial"/>
        </w:rPr>
      </w:pPr>
    </w:p>
    <w:p w14:paraId="391CAC7A" w14:textId="77777777" w:rsidR="00083C7E" w:rsidRDefault="00083C7E">
      <w:pPr>
        <w:jc w:val="both"/>
        <w:rPr>
          <w:rFonts w:ascii="Arial" w:hAnsi="Arial" w:cs="Arial"/>
          <w:sz w:val="22"/>
          <w:szCs w:val="22"/>
        </w:rPr>
      </w:pPr>
    </w:p>
    <w:p w14:paraId="1C11A1C2" w14:textId="77777777" w:rsidR="00083C7E" w:rsidRDefault="00047EFE">
      <w:pPr>
        <w:jc w:val="both"/>
        <w:rPr>
          <w:rFonts w:ascii="Arial" w:hAnsi="Arial" w:cs="Arial"/>
          <w:sz w:val="22"/>
          <w:szCs w:val="22"/>
        </w:rPr>
      </w:pPr>
      <w:r>
        <w:rPr>
          <w:rFonts w:ascii="Arial" w:hAnsi="Arial" w:cs="Arial"/>
          <w:b/>
          <w:sz w:val="22"/>
          <w:szCs w:val="22"/>
        </w:rPr>
        <w:t xml:space="preserve">Abstract. </w:t>
      </w:r>
      <w:r>
        <w:rPr>
          <w:rFonts w:ascii="Arial" w:hAnsi="Arial" w:cs="Arial"/>
          <w:sz w:val="22"/>
          <w:szCs w:val="22"/>
        </w:rPr>
        <w:t>This study aims to test the growth performance of tilapia (</w:t>
      </w:r>
      <w:r>
        <w:rPr>
          <w:rFonts w:ascii="Arial" w:hAnsi="Arial"/>
          <w:i/>
          <w:sz w:val="22"/>
        </w:rPr>
        <w:t>Oreochromis niloticus</w:t>
      </w:r>
      <w:r>
        <w:rPr>
          <w:rFonts w:ascii="Arial" w:hAnsi="Arial" w:cs="Arial"/>
          <w:sz w:val="22"/>
          <w:szCs w:val="22"/>
        </w:rPr>
        <w:t xml:space="preserve">) seeds fed with different quantities of symbiont, which consists of a probiotic and a prebiotic, such as B. </w:t>
      </w:r>
      <w:r>
        <w:rPr>
          <w:rFonts w:ascii="Arial" w:hAnsi="Arial" w:cs="Arial"/>
          <w:i/>
          <w:sz w:val="22"/>
          <w:szCs w:val="22"/>
        </w:rPr>
        <w:t>subtilis</w:t>
      </w:r>
      <w:r>
        <w:rPr>
          <w:rFonts w:ascii="Arial" w:hAnsi="Arial" w:cs="Arial"/>
          <w:sz w:val="22"/>
          <w:szCs w:val="22"/>
        </w:rPr>
        <w:t xml:space="preserve"> and banan</w:t>
      </w:r>
      <w:r>
        <w:rPr>
          <w:rFonts w:ascii="Arial" w:hAnsi="Arial" w:cs="Arial"/>
          <w:sz w:val="22"/>
          <w:szCs w:val="22"/>
        </w:rPr>
        <w:t xml:space="preserve">a flour, respectively. This study employs an experimental approach with a completely randomized design (CRD). Furthermore, artificial feeds were prepared as various treatments, which consists of various concentrations of </w:t>
      </w:r>
      <w:r>
        <w:rPr>
          <w:rFonts w:ascii="Arial" w:hAnsi="Arial" w:cs="Arial"/>
          <w:i/>
          <w:sz w:val="22"/>
          <w:szCs w:val="22"/>
        </w:rPr>
        <w:t>B. subtilis</w:t>
      </w:r>
      <w:r>
        <w:rPr>
          <w:rFonts w:ascii="Arial" w:hAnsi="Arial" w:cs="Arial"/>
          <w:sz w:val="22"/>
          <w:szCs w:val="22"/>
        </w:rPr>
        <w:t xml:space="preserve"> and banana flour. They </w:t>
      </w:r>
      <w:r>
        <w:rPr>
          <w:rFonts w:ascii="Arial" w:hAnsi="Arial" w:cs="Arial"/>
          <w:sz w:val="22"/>
          <w:szCs w:val="22"/>
        </w:rPr>
        <w:t xml:space="preserve">include treatment A, which does not contain </w:t>
      </w:r>
      <w:r>
        <w:rPr>
          <w:rFonts w:ascii="Arial" w:hAnsi="Arial" w:cs="Arial"/>
          <w:i/>
          <w:sz w:val="22"/>
          <w:szCs w:val="22"/>
        </w:rPr>
        <w:t>B. subtilis</w:t>
      </w:r>
      <w:r>
        <w:rPr>
          <w:rFonts w:ascii="Arial" w:hAnsi="Arial" w:cs="Arial"/>
          <w:sz w:val="22"/>
          <w:szCs w:val="22"/>
        </w:rPr>
        <w:t xml:space="preserve"> and banana flour, and also treatment B,C and D, which consists of B. subtilis at concentrations of 10</w:t>
      </w:r>
      <w:r>
        <w:rPr>
          <w:rFonts w:ascii="Arial" w:hAnsi="Arial" w:cs="Arial"/>
          <w:sz w:val="22"/>
          <w:szCs w:val="22"/>
          <w:vertAlign w:val="superscript"/>
        </w:rPr>
        <w:t>5</w:t>
      </w:r>
      <w:r>
        <w:rPr>
          <w:rFonts w:ascii="Arial" w:hAnsi="Arial" w:cs="Arial"/>
          <w:sz w:val="22"/>
          <w:szCs w:val="22"/>
        </w:rPr>
        <w:t xml:space="preserve"> CFU / mL, 10</w:t>
      </w:r>
      <w:r>
        <w:rPr>
          <w:rFonts w:ascii="Arial" w:hAnsi="Arial" w:cs="Arial"/>
          <w:sz w:val="22"/>
          <w:szCs w:val="22"/>
          <w:vertAlign w:val="superscript"/>
        </w:rPr>
        <w:t xml:space="preserve">7 </w:t>
      </w:r>
      <w:r>
        <w:rPr>
          <w:rFonts w:ascii="Arial" w:hAnsi="Arial" w:cs="Arial"/>
          <w:sz w:val="22"/>
          <w:szCs w:val="22"/>
        </w:rPr>
        <w:t>CFU / mL, and 10</w:t>
      </w:r>
      <w:r>
        <w:rPr>
          <w:rFonts w:ascii="Arial" w:hAnsi="Arial" w:cs="Arial"/>
          <w:sz w:val="22"/>
          <w:szCs w:val="22"/>
          <w:vertAlign w:val="superscript"/>
        </w:rPr>
        <w:t xml:space="preserve">9 </w:t>
      </w:r>
      <w:r>
        <w:rPr>
          <w:rFonts w:ascii="Arial" w:hAnsi="Arial" w:cs="Arial"/>
          <w:sz w:val="22"/>
          <w:szCs w:val="22"/>
        </w:rPr>
        <w:t>CFU / mL, respectively, as well as 1% banana flour. The results s</w:t>
      </w:r>
      <w:r>
        <w:rPr>
          <w:rFonts w:ascii="Arial" w:hAnsi="Arial" w:cs="Arial"/>
          <w:sz w:val="22"/>
          <w:szCs w:val="22"/>
        </w:rPr>
        <w:t>howed that there was no significant difference associated with survival rate (SR), FCR, weight gain (WG), hepatosomatic index (HSI), and condition factor (K). Meanwhile, digestive somatic index (DSI) showed a significant difference with treatment A, C, and</w:t>
      </w:r>
      <w:r>
        <w:rPr>
          <w:rFonts w:ascii="Arial" w:hAnsi="Arial" w:cs="Arial"/>
          <w:sz w:val="22"/>
          <w:szCs w:val="22"/>
        </w:rPr>
        <w:t xml:space="preserve"> D, but not with treatment B. However, treatment B showed a relatively better performance based on the SR, FCR, and WG at 96,67 %, 1.05 %, and 3.49 %, respectively.</w:t>
      </w:r>
    </w:p>
    <w:p w14:paraId="6B77565B" w14:textId="77777777" w:rsidR="00083C7E" w:rsidRDefault="00083C7E">
      <w:pPr>
        <w:jc w:val="both"/>
        <w:rPr>
          <w:rFonts w:ascii="Arial" w:hAnsi="Arial" w:cs="Arial"/>
          <w:b/>
          <w:sz w:val="22"/>
          <w:szCs w:val="22"/>
        </w:rPr>
      </w:pPr>
    </w:p>
    <w:p w14:paraId="5C38DAD1" w14:textId="77777777" w:rsidR="00083C7E" w:rsidRDefault="00047EFE" w:rsidP="0060416A">
      <w:pPr>
        <w:jc w:val="both"/>
        <w:outlineLvl w:val="0"/>
        <w:rPr>
          <w:rFonts w:ascii="Arial" w:hAnsi="Arial" w:cs="Arial"/>
          <w:b/>
          <w:sz w:val="22"/>
          <w:szCs w:val="22"/>
        </w:rPr>
      </w:pPr>
      <w:r>
        <w:rPr>
          <w:rFonts w:ascii="Arial" w:hAnsi="Arial" w:cs="Arial"/>
          <w:b/>
          <w:sz w:val="22"/>
          <w:szCs w:val="22"/>
        </w:rPr>
        <w:t>Keywords: Fish Seeds, Probiotics, Dosage, Growth</w:t>
      </w:r>
    </w:p>
    <w:p w14:paraId="0C2F6436" w14:textId="77777777" w:rsidR="00083C7E" w:rsidRDefault="00083C7E">
      <w:pPr>
        <w:jc w:val="both"/>
        <w:rPr>
          <w:rFonts w:ascii="Arial" w:hAnsi="Arial" w:cs="Arial"/>
        </w:rPr>
      </w:pPr>
    </w:p>
    <w:p w14:paraId="11242EC2" w14:textId="77777777" w:rsidR="00083C7E" w:rsidRDefault="00083C7E">
      <w:pPr>
        <w:jc w:val="both"/>
        <w:rPr>
          <w:rFonts w:ascii="Arial" w:hAnsi="Arial" w:cs="Arial"/>
        </w:rPr>
      </w:pPr>
    </w:p>
    <w:p w14:paraId="3422725D" w14:textId="77777777" w:rsidR="00083C7E" w:rsidRDefault="00047EFE" w:rsidP="0060416A">
      <w:pPr>
        <w:outlineLvl w:val="0"/>
        <w:rPr>
          <w:rFonts w:ascii="Arial" w:hAnsi="Arial" w:cs="Arial"/>
          <w:b/>
          <w:sz w:val="28"/>
        </w:rPr>
      </w:pPr>
      <w:r>
        <w:rPr>
          <w:rFonts w:ascii="Arial" w:hAnsi="Arial" w:cs="Arial"/>
          <w:b/>
          <w:sz w:val="28"/>
        </w:rPr>
        <w:t>INTRODUCTION</w:t>
      </w:r>
    </w:p>
    <w:p w14:paraId="288A21DE" w14:textId="77777777" w:rsidR="00083C7E" w:rsidRDefault="00083C7E">
      <w:pPr>
        <w:rPr>
          <w:rFonts w:ascii="Arial" w:hAnsi="Arial" w:cs="Arial"/>
          <w:b/>
          <w:sz w:val="28"/>
        </w:rPr>
      </w:pPr>
    </w:p>
    <w:p w14:paraId="56421172" w14:textId="77777777" w:rsidR="00083C7E" w:rsidRDefault="00047EFE">
      <w:pPr>
        <w:pStyle w:val="NormalWeb"/>
        <w:spacing w:before="0" w:beforeAutospacing="0" w:after="0" w:afterAutospacing="0"/>
        <w:ind w:firstLine="720"/>
        <w:jc w:val="both"/>
        <w:rPr>
          <w:rFonts w:ascii="Arial" w:hAnsi="Arial" w:cs="Arial"/>
          <w:sz w:val="22"/>
          <w:szCs w:val="22"/>
        </w:rPr>
      </w:pPr>
      <w:r>
        <w:rPr>
          <w:rFonts w:ascii="Arial" w:hAnsi="Arial"/>
          <w:sz w:val="22"/>
          <w:szCs w:val="22"/>
        </w:rPr>
        <w:t>Tilapia (</w:t>
      </w:r>
      <w:r>
        <w:rPr>
          <w:rFonts w:ascii="Arial" w:hAnsi="Arial"/>
          <w:i/>
          <w:sz w:val="22"/>
          <w:szCs w:val="22"/>
        </w:rPr>
        <w:t>Oreochromis</w:t>
      </w:r>
      <w:r>
        <w:rPr>
          <w:rFonts w:ascii="Arial" w:hAnsi="Arial"/>
          <w:i/>
          <w:sz w:val="22"/>
        </w:rPr>
        <w:t xml:space="preserve"> </w:t>
      </w:r>
      <w:r>
        <w:rPr>
          <w:rFonts w:ascii="Arial" w:hAnsi="Arial"/>
          <w:i/>
          <w:sz w:val="22"/>
          <w:szCs w:val="22"/>
        </w:rPr>
        <w:t>niloticus</w:t>
      </w:r>
      <w:r>
        <w:rPr>
          <w:rFonts w:ascii="Arial" w:hAnsi="Arial"/>
          <w:sz w:val="22"/>
          <w:szCs w:val="22"/>
        </w:rPr>
        <w:t>) is a fresh water and brackish water fishery commodity with significant economic value, and it is the second most widely cultivated finned fish species after carp (FAO, 2018). The high demand of tilapia has resulted in the emergence of several pr</w:t>
      </w:r>
      <w:r>
        <w:rPr>
          <w:rFonts w:ascii="Arial" w:hAnsi="Arial"/>
          <w:sz w:val="22"/>
          <w:szCs w:val="22"/>
        </w:rPr>
        <w:t xml:space="preserve">oblems, including the quality of feed composition. According to Kurniawan </w:t>
      </w:r>
      <w:r>
        <w:rPr>
          <w:rFonts w:ascii="Arial" w:hAnsi="Arial"/>
          <w:sz w:val="22"/>
        </w:rPr>
        <w:t>et al</w:t>
      </w:r>
      <w:r>
        <w:rPr>
          <w:rFonts w:ascii="Arial" w:hAnsi="Arial"/>
          <w:sz w:val="22"/>
          <w:szCs w:val="22"/>
        </w:rPr>
        <w:t>. (2019), the nature of the fish feed is a primary factor for growth and this accounts for the majority of production costs at 60-70 %. This is because of the increase in the pr</w:t>
      </w:r>
      <w:r>
        <w:rPr>
          <w:rFonts w:ascii="Arial" w:hAnsi="Arial"/>
          <w:sz w:val="22"/>
          <w:szCs w:val="22"/>
        </w:rPr>
        <w:t xml:space="preserve">ice of high-quality feed ingredients. Therefore, it is necessary to increase feed efficiency to meet these needs in order to increase fish production. Also, </w:t>
      </w:r>
      <w:bookmarkStart w:id="0" w:name="_Hlk65694564"/>
      <w:r>
        <w:rPr>
          <w:rFonts w:ascii="Arial" w:hAnsi="Arial"/>
          <w:sz w:val="22"/>
          <w:szCs w:val="22"/>
        </w:rPr>
        <w:t>the high cost of feed promotes the efficiency of the feed given to tilapia to meet these needs, one</w:t>
      </w:r>
      <w:r>
        <w:rPr>
          <w:rFonts w:ascii="Arial" w:hAnsi="Arial"/>
          <w:sz w:val="22"/>
          <w:szCs w:val="22"/>
        </w:rPr>
        <w:t xml:space="preserve"> of which is through the use of symbiont feed, which is a combination of a probiotic and prebiotic. According to Aly </w:t>
      </w:r>
      <w:r>
        <w:rPr>
          <w:rFonts w:ascii="Arial" w:hAnsi="Arial"/>
          <w:sz w:val="22"/>
        </w:rPr>
        <w:t>et al</w:t>
      </w:r>
      <w:r>
        <w:rPr>
          <w:rFonts w:ascii="Arial" w:hAnsi="Arial"/>
          <w:sz w:val="22"/>
          <w:szCs w:val="22"/>
        </w:rPr>
        <w:t>. (2008), the use of probiotics or beneficial bacteria is considered a promising alternative approach in controlling pathogenic bacter</w:t>
      </w:r>
      <w:r>
        <w:rPr>
          <w:rFonts w:ascii="Arial" w:hAnsi="Arial"/>
          <w:sz w:val="22"/>
          <w:szCs w:val="22"/>
        </w:rPr>
        <w:t xml:space="preserve">ia, especially with the addition of prebiotics to fish feed. Probiotics, when administered at the appropriate dose, can improve digestibility, growth, and the immune system of fish (M Abdeh Tawaf </w:t>
      </w:r>
      <w:r>
        <w:rPr>
          <w:rFonts w:ascii="Arial" w:hAnsi="Arial"/>
          <w:sz w:val="22"/>
        </w:rPr>
        <w:t>et al</w:t>
      </w:r>
      <w:r w:rsidR="00AF4D33">
        <w:rPr>
          <w:rFonts w:ascii="Arial" w:hAnsi="Arial"/>
          <w:sz w:val="22"/>
          <w:szCs w:val="22"/>
        </w:rPr>
        <w:t>. 2008;A Bomba et al.</w:t>
      </w:r>
      <w:r>
        <w:rPr>
          <w:rFonts w:ascii="Arial" w:hAnsi="Arial"/>
          <w:sz w:val="22"/>
          <w:szCs w:val="22"/>
        </w:rPr>
        <w:t xml:space="preserve"> 2008). Subsequently, Feed effi</w:t>
      </w:r>
      <w:r>
        <w:rPr>
          <w:rFonts w:ascii="Arial" w:hAnsi="Arial"/>
          <w:sz w:val="22"/>
          <w:szCs w:val="22"/>
        </w:rPr>
        <w:t>ciency can be achieved through the use of probiotics and prebiotics, which produce enzymes that help in digesting the feed, thereby effectively increasing growth performance. In addition, a symbiont feed which is a balanced combination of probiotics and pr</w:t>
      </w:r>
      <w:r>
        <w:rPr>
          <w:rFonts w:ascii="Arial" w:hAnsi="Arial"/>
          <w:sz w:val="22"/>
          <w:szCs w:val="22"/>
        </w:rPr>
        <w:t xml:space="preserve">ebiotics can increase the </w:t>
      </w:r>
      <w:r>
        <w:rPr>
          <w:rFonts w:ascii="Arial" w:hAnsi="Arial"/>
          <w:sz w:val="22"/>
          <w:szCs w:val="22"/>
        </w:rPr>
        <w:lastRenderedPageBreak/>
        <w:t>survival and growth of beneficial bacteria in the digestive tract of an organism. Probiotic bacteria are given because they can benefit cultured organisms by increasing nutritional value, and host response to harmful microorganism</w:t>
      </w:r>
      <w:r>
        <w:rPr>
          <w:rFonts w:ascii="Arial" w:hAnsi="Arial"/>
          <w:sz w:val="22"/>
          <w:szCs w:val="22"/>
        </w:rPr>
        <w:t xml:space="preserve"> agents, as well as improving environmental quality (MH Abdelhamid </w:t>
      </w:r>
      <w:r w:rsidRPr="00AF4D33">
        <w:rPr>
          <w:rFonts w:ascii="Arial" w:hAnsi="Arial"/>
          <w:iCs/>
          <w:sz w:val="22"/>
          <w:szCs w:val="22"/>
        </w:rPr>
        <w:t>et al</w:t>
      </w:r>
      <w:r w:rsidR="00AF4D33">
        <w:rPr>
          <w:rFonts w:ascii="Arial" w:hAnsi="Arial"/>
          <w:sz w:val="22"/>
          <w:szCs w:val="22"/>
        </w:rPr>
        <w:t>. 2014;</w:t>
      </w:r>
      <w:r>
        <w:rPr>
          <w:rFonts w:ascii="Arial" w:hAnsi="Arial"/>
          <w:sz w:val="22"/>
          <w:szCs w:val="22"/>
        </w:rPr>
        <w:t xml:space="preserve">M Lara Flores </w:t>
      </w:r>
      <w:r w:rsidRPr="00AF4D33">
        <w:rPr>
          <w:rFonts w:ascii="Arial" w:hAnsi="Arial"/>
          <w:iCs/>
          <w:sz w:val="22"/>
          <w:szCs w:val="22"/>
        </w:rPr>
        <w:t>et al</w:t>
      </w:r>
      <w:r w:rsidR="00AF4D33">
        <w:rPr>
          <w:rFonts w:ascii="Arial" w:hAnsi="Arial"/>
          <w:sz w:val="22"/>
          <w:szCs w:val="22"/>
        </w:rPr>
        <w:t>.</w:t>
      </w:r>
      <w:r>
        <w:rPr>
          <w:rFonts w:ascii="Arial" w:hAnsi="Arial"/>
          <w:sz w:val="22"/>
          <w:szCs w:val="22"/>
        </w:rPr>
        <w:t xml:space="preserve"> 2013), while prebiotics can provide food for the growth of probiotic bacteria (Ringgo </w:t>
      </w:r>
      <w:r w:rsidRPr="00AF4D33">
        <w:rPr>
          <w:rFonts w:ascii="Arial" w:hAnsi="Arial"/>
          <w:iCs/>
          <w:sz w:val="22"/>
          <w:szCs w:val="22"/>
        </w:rPr>
        <w:t>et al</w:t>
      </w:r>
      <w:r w:rsidR="00AF4D33" w:rsidRPr="00AF4D33">
        <w:rPr>
          <w:rFonts w:ascii="Arial" w:hAnsi="Arial"/>
          <w:sz w:val="22"/>
          <w:szCs w:val="22"/>
        </w:rPr>
        <w:t>.</w:t>
      </w:r>
      <w:r>
        <w:rPr>
          <w:rFonts w:ascii="Arial" w:hAnsi="Arial"/>
          <w:sz w:val="22"/>
          <w:szCs w:val="22"/>
        </w:rPr>
        <w:t xml:space="preserve"> 2010)</w:t>
      </w:r>
      <w:r>
        <w:rPr>
          <w:rFonts w:ascii="Arial" w:hAnsi="Arial" w:cs="Arial"/>
          <w:sz w:val="22"/>
          <w:szCs w:val="22"/>
        </w:rPr>
        <w:t>.</w:t>
      </w:r>
    </w:p>
    <w:bookmarkEnd w:id="0"/>
    <w:p w14:paraId="3FA42D69" w14:textId="77777777" w:rsidR="00083C7E" w:rsidRDefault="00047EFE">
      <w:pPr>
        <w:pStyle w:val="NormalWeb"/>
        <w:spacing w:before="0" w:beforeAutospacing="0" w:after="0" w:afterAutospacing="0"/>
        <w:ind w:firstLine="720"/>
        <w:jc w:val="both"/>
        <w:rPr>
          <w:rFonts w:ascii="Arial" w:hAnsi="Arial" w:cs="Arial"/>
          <w:sz w:val="22"/>
          <w:szCs w:val="22"/>
        </w:rPr>
      </w:pPr>
      <w:r>
        <w:rPr>
          <w:rFonts w:ascii="Arial" w:hAnsi="Arial"/>
          <w:sz w:val="22"/>
          <w:szCs w:val="22"/>
        </w:rPr>
        <w:t>Similarly, the use of symbiont feed can boost surviv</w:t>
      </w:r>
      <w:r>
        <w:rPr>
          <w:rFonts w:ascii="Arial" w:hAnsi="Arial"/>
          <w:sz w:val="22"/>
          <w:szCs w:val="22"/>
        </w:rPr>
        <w:t xml:space="preserve">al, stimulate growth, and boost the host </w:t>
      </w:r>
      <w:r w:rsidR="00AF4D33">
        <w:rPr>
          <w:rFonts w:ascii="Arial" w:hAnsi="Arial"/>
          <w:sz w:val="22"/>
          <w:szCs w:val="22"/>
        </w:rPr>
        <w:t>immune system (Cerezuela et al.</w:t>
      </w:r>
      <w:r>
        <w:rPr>
          <w:rFonts w:ascii="Arial" w:hAnsi="Arial"/>
          <w:sz w:val="22"/>
          <w:szCs w:val="22"/>
        </w:rPr>
        <w:t xml:space="preserve"> 2011). This is because the probiotics in the symbiont feed can increase bacterial activity, which aids the digestive process of the fish and also increases feed digestibility, allowi</w:t>
      </w:r>
      <w:r>
        <w:rPr>
          <w:rFonts w:ascii="Arial" w:hAnsi="Arial"/>
          <w:sz w:val="22"/>
          <w:szCs w:val="22"/>
        </w:rPr>
        <w:t>ng the fish</w:t>
      </w:r>
      <w:r w:rsidR="00AF4D33">
        <w:rPr>
          <w:rFonts w:ascii="Arial" w:hAnsi="Arial"/>
          <w:sz w:val="22"/>
          <w:szCs w:val="22"/>
        </w:rPr>
        <w:t xml:space="preserve"> to grow well (Widanarni et al. </w:t>
      </w:r>
      <w:r>
        <w:rPr>
          <w:rFonts w:ascii="Arial" w:hAnsi="Arial"/>
          <w:sz w:val="22"/>
          <w:szCs w:val="22"/>
        </w:rPr>
        <w:t xml:space="preserve">2016). One of such probiotic agent is </w:t>
      </w:r>
      <w:r>
        <w:rPr>
          <w:rFonts w:ascii="Arial" w:hAnsi="Arial"/>
          <w:i/>
          <w:sz w:val="22"/>
          <w:szCs w:val="22"/>
        </w:rPr>
        <w:t xml:space="preserve">Bacillus subtilis, </w:t>
      </w:r>
      <w:r>
        <w:rPr>
          <w:rFonts w:ascii="Arial" w:hAnsi="Arial"/>
          <w:sz w:val="22"/>
          <w:szCs w:val="22"/>
        </w:rPr>
        <w:t>which</w:t>
      </w:r>
      <w:r>
        <w:rPr>
          <w:rFonts w:ascii="Arial" w:hAnsi="Arial"/>
          <w:sz w:val="22"/>
          <w:szCs w:val="22"/>
        </w:rPr>
        <w:t xml:space="preserve"> has the potential to stimulate enzyme activity, digestion, and feed absorption in order to promote tilapia growth (SK Nayak, 2010; Gatesoupe,</w:t>
      </w:r>
      <w:r>
        <w:rPr>
          <w:rFonts w:ascii="Arial" w:hAnsi="Arial"/>
          <w:sz w:val="22"/>
          <w:szCs w:val="22"/>
        </w:rPr>
        <w:t xml:space="preserve"> 1999). Addition of a prebiotic to the feed also increases the digestibility of the feed. (Han et </w:t>
      </w:r>
      <w:r w:rsidR="00AF4D33">
        <w:rPr>
          <w:rFonts w:ascii="Arial" w:hAnsi="Arial"/>
          <w:sz w:val="22"/>
          <w:szCs w:val="22"/>
        </w:rPr>
        <w:t>al. 2015;</w:t>
      </w:r>
      <w:r>
        <w:rPr>
          <w:rFonts w:ascii="Arial" w:hAnsi="Arial"/>
          <w:sz w:val="22"/>
          <w:szCs w:val="22"/>
        </w:rPr>
        <w:t>Liu, 2017)</w:t>
      </w:r>
    </w:p>
    <w:p w14:paraId="186EFDAC" w14:textId="77777777" w:rsidR="00083C7E" w:rsidRDefault="00047EFE">
      <w:pPr>
        <w:ind w:firstLine="720"/>
        <w:jc w:val="both"/>
        <w:rPr>
          <w:rFonts w:ascii="Arial" w:eastAsia="SimSun" w:hAnsi="Arial" w:cs="Arial"/>
          <w:sz w:val="22"/>
          <w:szCs w:val="22"/>
          <w:lang w:eastAsia="ja-JP"/>
        </w:rPr>
      </w:pPr>
      <w:r>
        <w:rPr>
          <w:rFonts w:ascii="Arial" w:eastAsia="SimSun" w:hAnsi="Arial"/>
          <w:sz w:val="22"/>
          <w:szCs w:val="22"/>
          <w:lang w:eastAsia="ja-JP"/>
        </w:rPr>
        <w:t>Meanwhile, previous research on symbiont feed has shown a variety of significant outcomes</w:t>
      </w:r>
      <w:r w:rsidR="00AF4D33">
        <w:rPr>
          <w:rFonts w:ascii="Arial" w:eastAsia="SimSun" w:hAnsi="Arial"/>
          <w:sz w:val="22"/>
          <w:szCs w:val="22"/>
          <w:lang w:eastAsia="ja-JP"/>
        </w:rPr>
        <w:t xml:space="preserve"> in cultured fish (Putra et al.</w:t>
      </w:r>
      <w:r>
        <w:rPr>
          <w:rFonts w:ascii="Arial" w:eastAsia="SimSun" w:hAnsi="Arial"/>
          <w:sz w:val="22"/>
          <w:szCs w:val="22"/>
          <w:lang w:eastAsia="ja-JP"/>
        </w:rPr>
        <w:t xml:space="preserve"> 2015). Also, the ba</w:t>
      </w:r>
      <w:r>
        <w:rPr>
          <w:rFonts w:ascii="Arial" w:eastAsia="SimSun" w:hAnsi="Arial"/>
          <w:sz w:val="22"/>
          <w:szCs w:val="22"/>
          <w:lang w:eastAsia="ja-JP"/>
        </w:rPr>
        <w:t xml:space="preserve">cteria used as a probiotic candidate in this study is </w:t>
      </w:r>
      <w:r>
        <w:rPr>
          <w:rFonts w:ascii="Arial" w:eastAsia="SimSun" w:hAnsi="Arial"/>
          <w:i/>
          <w:sz w:val="22"/>
          <w:szCs w:val="22"/>
          <w:lang w:eastAsia="ja-JP"/>
        </w:rPr>
        <w:t>Bacillus subtilis</w:t>
      </w:r>
      <w:r>
        <w:rPr>
          <w:rFonts w:ascii="Arial" w:eastAsia="SimSun" w:hAnsi="Arial"/>
          <w:sz w:val="22"/>
          <w:szCs w:val="22"/>
          <w:lang w:eastAsia="ja-JP"/>
        </w:rPr>
        <w:t>, which can improve the growth performa</w:t>
      </w:r>
      <w:r w:rsidR="00AF4D33">
        <w:rPr>
          <w:rFonts w:ascii="Arial" w:eastAsia="SimSun" w:hAnsi="Arial"/>
          <w:sz w:val="22"/>
          <w:szCs w:val="22"/>
          <w:lang w:eastAsia="ja-JP"/>
        </w:rPr>
        <w:t>nce of tilapia (Van Doan et al.</w:t>
      </w:r>
      <w:r>
        <w:rPr>
          <w:rFonts w:ascii="Arial" w:eastAsia="SimSun" w:hAnsi="Arial"/>
          <w:sz w:val="22"/>
          <w:szCs w:val="22"/>
          <w:lang w:eastAsia="ja-JP"/>
        </w:rPr>
        <w:t xml:space="preserve"> 2018). Conversely, the addition of prebiotics derived from banana flour is important to the </w:t>
      </w:r>
      <w:r>
        <w:rPr>
          <w:rFonts w:ascii="Arial" w:eastAsia="SimSun" w:hAnsi="Arial"/>
          <w:i/>
          <w:sz w:val="22"/>
          <w:szCs w:val="22"/>
          <w:lang w:eastAsia="ja-JP"/>
        </w:rPr>
        <w:t>B. subtili</w:t>
      </w:r>
      <w:r>
        <w:rPr>
          <w:rFonts w:ascii="Arial" w:hAnsi="Arial"/>
          <w:i/>
          <w:sz w:val="22"/>
        </w:rPr>
        <w:t>s</w:t>
      </w:r>
      <w:r>
        <w:rPr>
          <w:rFonts w:ascii="Arial" w:eastAsia="SimSun" w:hAnsi="Arial"/>
          <w:sz w:val="22"/>
          <w:szCs w:val="22"/>
          <w:lang w:eastAsia="ja-JP"/>
        </w:rPr>
        <w:t xml:space="preserve">, </w:t>
      </w:r>
      <w:r>
        <w:rPr>
          <w:rFonts w:ascii="Arial" w:eastAsia="SimSun" w:hAnsi="Arial"/>
          <w:sz w:val="22"/>
          <w:szCs w:val="22"/>
          <w:lang w:eastAsia="ja-JP"/>
        </w:rPr>
        <w:t>resulting in a synergy between the probiotics and prebiotics in the symbiont feed. However, the recommendations for the feasibility of symbiont feeding in tilapia are based on possible results obtained before the end of the research period.</w:t>
      </w:r>
    </w:p>
    <w:p w14:paraId="750671DE" w14:textId="77777777" w:rsidR="00083C7E" w:rsidRDefault="00083C7E">
      <w:pPr>
        <w:ind w:firstLine="720"/>
        <w:jc w:val="both"/>
        <w:rPr>
          <w:rFonts w:ascii="Arial" w:hAnsi="Arial" w:cs="Arial"/>
          <w:b/>
          <w:sz w:val="22"/>
          <w:szCs w:val="22"/>
        </w:rPr>
      </w:pPr>
    </w:p>
    <w:p w14:paraId="134B4F4E" w14:textId="77777777" w:rsidR="00083C7E" w:rsidRDefault="00047EFE" w:rsidP="0060416A">
      <w:pPr>
        <w:outlineLvl w:val="0"/>
        <w:rPr>
          <w:rFonts w:ascii="Arial" w:hAnsi="Arial" w:cs="Arial"/>
          <w:b/>
          <w:sz w:val="22"/>
          <w:szCs w:val="22"/>
        </w:rPr>
      </w:pPr>
      <w:r>
        <w:rPr>
          <w:rFonts w:ascii="Arial" w:hAnsi="Arial"/>
          <w:b/>
          <w:sz w:val="22"/>
          <w:szCs w:val="22"/>
        </w:rPr>
        <w:t xml:space="preserve">MATERIALS AND </w:t>
      </w:r>
      <w:r>
        <w:rPr>
          <w:rFonts w:ascii="Arial" w:hAnsi="Arial"/>
          <w:b/>
          <w:sz w:val="22"/>
          <w:szCs w:val="22"/>
        </w:rPr>
        <w:t>METHODS</w:t>
      </w:r>
    </w:p>
    <w:p w14:paraId="4B2E2E57" w14:textId="77777777" w:rsidR="00083C7E" w:rsidRDefault="00083C7E">
      <w:pPr>
        <w:rPr>
          <w:rFonts w:ascii="Arial" w:hAnsi="Arial" w:cs="Arial"/>
          <w:b/>
          <w:sz w:val="22"/>
          <w:szCs w:val="22"/>
        </w:rPr>
      </w:pPr>
    </w:p>
    <w:p w14:paraId="45B492A0" w14:textId="77777777" w:rsidR="00083C7E" w:rsidRDefault="00047EFE" w:rsidP="0060416A">
      <w:pPr>
        <w:outlineLvl w:val="0"/>
        <w:rPr>
          <w:rFonts w:ascii="Arial" w:hAnsi="Arial" w:cs="Arial"/>
          <w:i/>
          <w:sz w:val="22"/>
          <w:szCs w:val="22"/>
        </w:rPr>
      </w:pPr>
      <w:r>
        <w:rPr>
          <w:rFonts w:ascii="Arial" w:hAnsi="Arial"/>
          <w:i/>
          <w:sz w:val="22"/>
          <w:szCs w:val="22"/>
        </w:rPr>
        <w:t>Material</w:t>
      </w:r>
    </w:p>
    <w:p w14:paraId="3B69E7DB" w14:textId="77777777" w:rsidR="00083C7E" w:rsidRDefault="00047EFE">
      <w:pPr>
        <w:pStyle w:val="Paragraf"/>
        <w:spacing w:line="276" w:lineRule="auto"/>
        <w:ind w:firstLine="0"/>
        <w:rPr>
          <w:rFonts w:ascii="Arial" w:hAnsi="Arial"/>
          <w:sz w:val="22"/>
          <w:szCs w:val="22"/>
          <w:lang w:val="en-US"/>
        </w:rPr>
      </w:pPr>
      <w:r>
        <w:rPr>
          <w:rFonts w:ascii="Arial" w:hAnsi="Arial"/>
          <w:sz w:val="22"/>
          <w:szCs w:val="22"/>
        </w:rPr>
        <w:t xml:space="preserve">The materials used were tilapia seeds with an average weight of ± 5 g purchased from the Brackish Water Cultivation Fisheries Centre (BPBAP), located in Takalar. Other materials obtained from the facility include </w:t>
      </w:r>
      <w:r>
        <w:rPr>
          <w:rFonts w:ascii="Arial" w:hAnsi="Arial"/>
          <w:i/>
          <w:sz w:val="22"/>
        </w:rPr>
        <w:t>Bacillus subtilis</w:t>
      </w:r>
      <w:r>
        <w:rPr>
          <w:rFonts w:ascii="Arial" w:hAnsi="Arial"/>
          <w:sz w:val="22"/>
          <w:szCs w:val="22"/>
        </w:rPr>
        <w:t>, banana</w:t>
      </w:r>
      <w:r>
        <w:rPr>
          <w:rFonts w:ascii="Arial" w:hAnsi="Arial"/>
          <w:sz w:val="22"/>
          <w:szCs w:val="22"/>
        </w:rPr>
        <w:t xml:space="preserve"> flour, Nutrient Broth</w:t>
      </w:r>
      <w:r w:rsidR="00AF4D33">
        <w:rPr>
          <w:rFonts w:ascii="Arial" w:hAnsi="Arial"/>
          <w:sz w:val="22"/>
          <w:szCs w:val="22"/>
        </w:rPr>
        <w:t xml:space="preserve"> (NB)</w:t>
      </w:r>
      <w:r>
        <w:rPr>
          <w:rFonts w:ascii="Arial" w:hAnsi="Arial"/>
          <w:sz w:val="22"/>
          <w:szCs w:val="22"/>
        </w:rPr>
        <w:t xml:space="preserve">, saline solution, </w:t>
      </w:r>
      <w:r>
        <w:rPr>
          <w:rFonts w:ascii="Arial" w:hAnsi="Arial"/>
          <w:sz w:val="22"/>
          <w:szCs w:val="22"/>
          <w:lang w:val="en-US"/>
        </w:rPr>
        <w:t xml:space="preserve">and </w:t>
      </w:r>
      <w:r>
        <w:rPr>
          <w:rFonts w:ascii="Arial" w:hAnsi="Arial"/>
          <w:sz w:val="22"/>
          <w:szCs w:val="22"/>
        </w:rPr>
        <w:t xml:space="preserve">anticoagulants. </w:t>
      </w:r>
      <w:r>
        <w:rPr>
          <w:rFonts w:ascii="Arial" w:hAnsi="Arial"/>
          <w:sz w:val="22"/>
          <w:szCs w:val="22"/>
          <w:lang w:val="en-US"/>
        </w:rPr>
        <w:t>Furthermore,</w:t>
      </w:r>
      <w:r>
        <w:rPr>
          <w:rFonts w:ascii="Arial" w:hAnsi="Arial"/>
          <w:sz w:val="22"/>
          <w:lang w:val="en-US"/>
        </w:rPr>
        <w:t xml:space="preserve"> </w:t>
      </w:r>
      <w:r>
        <w:rPr>
          <w:rFonts w:ascii="Arial" w:hAnsi="Arial"/>
          <w:sz w:val="22"/>
          <w:szCs w:val="22"/>
        </w:rPr>
        <w:t>an aquarium measuring 40x30x30 cm</w:t>
      </w:r>
      <w:r>
        <w:rPr>
          <w:rFonts w:ascii="Arial" w:hAnsi="Arial"/>
          <w:sz w:val="22"/>
          <w:szCs w:val="22"/>
          <w:vertAlign w:val="superscript"/>
        </w:rPr>
        <w:t>3</w:t>
      </w:r>
      <w:r>
        <w:rPr>
          <w:rFonts w:ascii="Arial" w:hAnsi="Arial"/>
          <w:sz w:val="22"/>
          <w:szCs w:val="22"/>
        </w:rPr>
        <w:t xml:space="preserve"> was used, as well as a centrifuge, a water bath shaker, aeration equipment, a washbasin, commercial standard feed, and a 1 mL syringe. </w:t>
      </w:r>
    </w:p>
    <w:p w14:paraId="68F08D54" w14:textId="77777777" w:rsidR="00083C7E" w:rsidRDefault="00083C7E">
      <w:pPr>
        <w:pStyle w:val="Paragraf"/>
        <w:spacing w:line="276" w:lineRule="auto"/>
        <w:ind w:firstLine="709"/>
        <w:rPr>
          <w:rFonts w:ascii="Arial" w:hAnsi="Arial"/>
          <w:sz w:val="22"/>
          <w:szCs w:val="22"/>
          <w:lang w:val="en-US"/>
        </w:rPr>
      </w:pPr>
    </w:p>
    <w:p w14:paraId="6F6AC85F" w14:textId="77777777" w:rsidR="00083C7E" w:rsidRDefault="00083C7E">
      <w:pPr>
        <w:pStyle w:val="Paragraf"/>
        <w:spacing w:line="276" w:lineRule="auto"/>
        <w:ind w:firstLine="709"/>
        <w:rPr>
          <w:rFonts w:ascii="Arial" w:hAnsi="Arial"/>
          <w:sz w:val="22"/>
          <w:szCs w:val="22"/>
          <w:lang w:val="en-US"/>
        </w:rPr>
      </w:pPr>
    </w:p>
    <w:p w14:paraId="6E95E430" w14:textId="77777777" w:rsidR="00083C7E" w:rsidRDefault="00047EFE" w:rsidP="0060416A">
      <w:pPr>
        <w:pStyle w:val="Paragraf"/>
        <w:tabs>
          <w:tab w:val="left" w:pos="709"/>
        </w:tabs>
        <w:spacing w:line="276" w:lineRule="auto"/>
        <w:ind w:firstLine="0"/>
        <w:jc w:val="left"/>
        <w:outlineLvl w:val="0"/>
        <w:rPr>
          <w:rFonts w:ascii="Arial" w:hAnsi="Arial"/>
          <w:sz w:val="22"/>
          <w:szCs w:val="22"/>
          <w:lang w:val="en-US"/>
        </w:rPr>
      </w:pPr>
      <w:r>
        <w:rPr>
          <w:rFonts w:ascii="Arial" w:hAnsi="Arial"/>
          <w:i/>
          <w:sz w:val="22"/>
          <w:szCs w:val="22"/>
          <w:lang w:val="en-US"/>
        </w:rPr>
        <w:t>Method</w:t>
      </w:r>
    </w:p>
    <w:p w14:paraId="075FF310" w14:textId="77777777" w:rsidR="00083C7E" w:rsidRDefault="00083C7E">
      <w:pPr>
        <w:pStyle w:val="Paragraf"/>
        <w:spacing w:line="276" w:lineRule="auto"/>
        <w:ind w:firstLine="0"/>
        <w:rPr>
          <w:rFonts w:ascii="Arial" w:hAnsi="Arial"/>
          <w:sz w:val="22"/>
          <w:szCs w:val="22"/>
          <w:lang w:val="en-US"/>
        </w:rPr>
      </w:pPr>
    </w:p>
    <w:p w14:paraId="06FC5667" w14:textId="77777777" w:rsidR="00083C7E" w:rsidRDefault="00047EFE" w:rsidP="0060416A">
      <w:pPr>
        <w:pStyle w:val="Paragraf"/>
        <w:spacing w:line="276" w:lineRule="auto"/>
        <w:ind w:firstLine="0"/>
        <w:outlineLvl w:val="0"/>
        <w:rPr>
          <w:rFonts w:ascii="Arial" w:hAnsi="Arial"/>
          <w:sz w:val="22"/>
          <w:szCs w:val="22"/>
          <w:lang w:val="en-US"/>
        </w:rPr>
      </w:pPr>
      <w:r>
        <w:rPr>
          <w:rFonts w:ascii="Arial" w:hAnsi="Arial"/>
          <w:sz w:val="22"/>
          <w:szCs w:val="22"/>
          <w:lang w:val="en-US"/>
        </w:rPr>
        <w:t>F</w:t>
      </w:r>
      <w:r>
        <w:rPr>
          <w:rFonts w:ascii="Arial" w:hAnsi="Arial"/>
          <w:sz w:val="22"/>
          <w:szCs w:val="22"/>
          <w:lang w:val="en-US"/>
        </w:rPr>
        <w:t>ish Preparation Test</w:t>
      </w:r>
    </w:p>
    <w:p w14:paraId="198B59A1" w14:textId="77777777" w:rsidR="00083C7E" w:rsidRDefault="00047EFE">
      <w:pPr>
        <w:pStyle w:val="Paragraf"/>
        <w:spacing w:line="276" w:lineRule="auto"/>
        <w:ind w:firstLine="0"/>
        <w:rPr>
          <w:rFonts w:ascii="Arial" w:hAnsi="Arial"/>
          <w:sz w:val="22"/>
          <w:szCs w:val="22"/>
          <w:lang w:val="en-US"/>
        </w:rPr>
      </w:pPr>
      <w:r>
        <w:rPr>
          <w:rFonts w:ascii="Arial" w:hAnsi="Arial"/>
          <w:sz w:val="22"/>
          <w:szCs w:val="22"/>
          <w:lang w:val="en-US"/>
        </w:rPr>
        <w:t>Tilapia seeds were acclimatized for one week before being used as test fry, and they were reared for 30 days at a density of 20 fish per aquarium measuring 40x30x30 cm</w:t>
      </w:r>
      <w:r>
        <w:rPr>
          <w:rFonts w:ascii="Arial" w:hAnsi="Arial"/>
          <w:sz w:val="22"/>
          <w:szCs w:val="22"/>
          <w:vertAlign w:val="superscript"/>
          <w:lang w:val="en-US"/>
        </w:rPr>
        <w:t>3</w:t>
      </w:r>
      <w:r>
        <w:rPr>
          <w:rFonts w:ascii="Arial" w:hAnsi="Arial"/>
          <w:sz w:val="22"/>
          <w:szCs w:val="22"/>
          <w:lang w:val="en-US"/>
        </w:rPr>
        <w:t xml:space="preserve">. The Maros Brackish Water Cultivation Research Institute produced </w:t>
      </w:r>
      <w:r>
        <w:rPr>
          <w:rFonts w:ascii="Arial" w:hAnsi="Arial"/>
          <w:sz w:val="22"/>
          <w:szCs w:val="22"/>
          <w:lang w:val="en-US"/>
        </w:rPr>
        <w:t>the artificial feed used in this study.</w:t>
      </w:r>
    </w:p>
    <w:p w14:paraId="11FA2F69" w14:textId="77777777" w:rsidR="00083C7E" w:rsidRDefault="00083C7E">
      <w:pPr>
        <w:pStyle w:val="Paragraf"/>
        <w:spacing w:line="276" w:lineRule="auto"/>
        <w:ind w:firstLine="0"/>
        <w:rPr>
          <w:rFonts w:ascii="Arial" w:hAnsi="Arial"/>
          <w:sz w:val="22"/>
          <w:szCs w:val="22"/>
          <w:lang w:val="en-US"/>
        </w:rPr>
      </w:pPr>
    </w:p>
    <w:p w14:paraId="45F99248" w14:textId="77777777" w:rsidR="00083C7E" w:rsidRDefault="00047EFE" w:rsidP="0060416A">
      <w:pPr>
        <w:pStyle w:val="Paragraf"/>
        <w:spacing w:line="276" w:lineRule="auto"/>
        <w:ind w:firstLine="0"/>
        <w:outlineLvl w:val="0"/>
        <w:rPr>
          <w:rFonts w:ascii="Arial" w:hAnsi="Arial"/>
          <w:sz w:val="22"/>
          <w:szCs w:val="22"/>
          <w:lang w:val="en-US"/>
        </w:rPr>
      </w:pPr>
      <w:r>
        <w:rPr>
          <w:rFonts w:ascii="Arial" w:hAnsi="Arial"/>
          <w:sz w:val="22"/>
          <w:szCs w:val="22"/>
          <w:lang w:val="en-US"/>
        </w:rPr>
        <w:t>Maintenance</w:t>
      </w:r>
    </w:p>
    <w:p w14:paraId="126DA468" w14:textId="77777777" w:rsidR="00083C7E" w:rsidRDefault="00047EFE">
      <w:pPr>
        <w:spacing w:line="276" w:lineRule="auto"/>
        <w:jc w:val="both"/>
        <w:rPr>
          <w:rFonts w:ascii="Arial" w:hAnsi="Arial" w:cs="Arial"/>
          <w:sz w:val="22"/>
          <w:szCs w:val="22"/>
          <w:lang w:val="id-ID"/>
        </w:rPr>
      </w:pPr>
      <w:r>
        <w:rPr>
          <w:rFonts w:ascii="Arial" w:hAnsi="Arial"/>
          <w:sz w:val="22"/>
          <w:szCs w:val="22"/>
        </w:rPr>
        <w:t xml:space="preserve">The Maros Brackish Water Cultivation Research Institute provided the fish feed for the 20 saline tilapia used in this study. Furthermore, the test feed, which is a basic feed supplemented with B. </w:t>
      </w:r>
      <w:r>
        <w:rPr>
          <w:rFonts w:ascii="Arial" w:hAnsi="Arial"/>
          <w:sz w:val="22"/>
        </w:rPr>
        <w:t>subtilis</w:t>
      </w:r>
      <w:r>
        <w:rPr>
          <w:rFonts w:ascii="Arial" w:hAnsi="Arial"/>
          <w:sz w:val="22"/>
          <w:szCs w:val="22"/>
        </w:rPr>
        <w:t>, was grown in NB (nutrient broth) and incubated for 24 hours in a shaker incubator. Subsequently, the bacterial pellet was then suspended in saline solution after being centrifuged at 6000 rpm for 10 minutes. As much as 1% prebiotics (banana flour</w:t>
      </w:r>
      <w:r>
        <w:rPr>
          <w:rFonts w:ascii="Arial" w:hAnsi="Arial"/>
          <w:sz w:val="22"/>
          <w:szCs w:val="22"/>
        </w:rPr>
        <w:t>) were added to the probiotic solution, and incubated for 15 to 30 minutes in a shaking water bath before being sprayed onto the feed in a ratio of 1 volume of symbiotic feed to 10 equivalent weights of regular Feeding based on the various treatments was d</w:t>
      </w:r>
      <w:r>
        <w:rPr>
          <w:rFonts w:ascii="Arial" w:hAnsi="Arial"/>
          <w:sz w:val="22"/>
          <w:szCs w:val="22"/>
        </w:rPr>
        <w:t xml:space="preserve">one at the station three times a day at 08.00, 13.00, and 18.00 </w:t>
      </w:r>
      <w:r w:rsidR="00AF4D33">
        <w:rPr>
          <w:rFonts w:ascii="Arial" w:hAnsi="Arial"/>
          <w:sz w:val="22"/>
          <w:szCs w:val="22"/>
        </w:rPr>
        <w:t>for eight weeks (Hossain et al.</w:t>
      </w:r>
      <w:r>
        <w:rPr>
          <w:rFonts w:ascii="Arial" w:hAnsi="Arial"/>
          <w:sz w:val="22"/>
          <w:szCs w:val="22"/>
        </w:rPr>
        <w:t xml:space="preserve"> 2001). Faeces are discarded every day after 2 hours of feeding, and water changes are performed by sucking every three days. Water quality was measured by main</w:t>
      </w:r>
      <w:r>
        <w:rPr>
          <w:rFonts w:ascii="Arial" w:hAnsi="Arial"/>
          <w:sz w:val="22"/>
          <w:szCs w:val="22"/>
        </w:rPr>
        <w:t xml:space="preserve">taining water temperature between 28 to 32 0C, </w:t>
      </w:r>
      <w:r>
        <w:rPr>
          <w:rFonts w:ascii="Arial" w:hAnsi="Arial"/>
          <w:sz w:val="22"/>
          <w:szCs w:val="22"/>
        </w:rPr>
        <w:lastRenderedPageBreak/>
        <w:t>ammonia levels at 0.2 mg/L, pH levels between 7.5 to 9.5, and dissolved oxygen at 6 mg/L. The measurements were done every 7 days before the first administration of feed in the morning.</w:t>
      </w:r>
    </w:p>
    <w:p w14:paraId="1348F1DE" w14:textId="77777777" w:rsidR="00083C7E" w:rsidRDefault="00083C7E">
      <w:pPr>
        <w:spacing w:line="276" w:lineRule="auto"/>
        <w:jc w:val="both"/>
        <w:rPr>
          <w:rFonts w:ascii="Arial" w:hAnsi="Arial" w:cs="Arial"/>
          <w:sz w:val="22"/>
          <w:szCs w:val="22"/>
          <w:lang w:val="id-ID"/>
        </w:rPr>
      </w:pPr>
    </w:p>
    <w:p w14:paraId="70737B15" w14:textId="77777777" w:rsidR="00083C7E" w:rsidRDefault="00047EFE" w:rsidP="0060416A">
      <w:pPr>
        <w:spacing w:line="276" w:lineRule="auto"/>
        <w:jc w:val="both"/>
        <w:outlineLvl w:val="0"/>
        <w:rPr>
          <w:rFonts w:ascii="Arial" w:hAnsi="Arial" w:cs="Arial"/>
          <w:sz w:val="22"/>
          <w:szCs w:val="22"/>
          <w:lang w:val="id-ID"/>
        </w:rPr>
      </w:pPr>
      <w:r>
        <w:rPr>
          <w:rFonts w:ascii="Arial" w:hAnsi="Arial"/>
          <w:sz w:val="22"/>
          <w:szCs w:val="22"/>
          <w:lang w:val="id-ID"/>
        </w:rPr>
        <w:t>Challenge Test</w:t>
      </w:r>
    </w:p>
    <w:p w14:paraId="1945BFA1" w14:textId="77777777" w:rsidR="00083C7E" w:rsidRDefault="00047EFE">
      <w:pPr>
        <w:spacing w:line="276" w:lineRule="auto"/>
        <w:jc w:val="both"/>
        <w:rPr>
          <w:rFonts w:ascii="Arial" w:hAnsi="Arial"/>
          <w:sz w:val="22"/>
          <w:szCs w:val="22"/>
        </w:rPr>
      </w:pPr>
      <w:r>
        <w:rPr>
          <w:rFonts w:ascii="Arial" w:hAnsi="Arial"/>
          <w:sz w:val="22"/>
          <w:szCs w:val="22"/>
        </w:rPr>
        <w:t xml:space="preserve">On day </w:t>
      </w:r>
      <w:r>
        <w:rPr>
          <w:rFonts w:ascii="Arial" w:hAnsi="Arial"/>
          <w:sz w:val="22"/>
          <w:szCs w:val="22"/>
        </w:rPr>
        <w:t>31, saline tilapia were tested with a suspension of the pathogenic bacteria, which was administered by intramuscular (IM) injection. Also, there was an observed hydrophilia at a concentration of 10</w:t>
      </w:r>
      <w:r>
        <w:rPr>
          <w:rFonts w:ascii="Arial" w:hAnsi="Arial"/>
          <w:sz w:val="22"/>
        </w:rPr>
        <w:t>6</w:t>
      </w:r>
      <w:r>
        <w:rPr>
          <w:rFonts w:ascii="Arial" w:hAnsi="Arial"/>
          <w:sz w:val="22"/>
          <w:szCs w:val="22"/>
        </w:rPr>
        <w:t xml:space="preserve"> CFU/ml as much as 0.1 mL/head using a sterile syringe. Fu</w:t>
      </w:r>
      <w:r>
        <w:rPr>
          <w:rFonts w:ascii="Arial" w:hAnsi="Arial"/>
          <w:sz w:val="22"/>
          <w:szCs w:val="22"/>
        </w:rPr>
        <w:t xml:space="preserve">rthermore, the fishes reared in the negative control pond were transferred to another pond with the same water conditions and injected with phosphate-buffered saline (PBS). Subsequently, saline tilapia was reared with standard commercial feed for 10 days, </w:t>
      </w:r>
      <w:r>
        <w:rPr>
          <w:rFonts w:ascii="Arial" w:hAnsi="Arial"/>
          <w:sz w:val="22"/>
          <w:szCs w:val="22"/>
        </w:rPr>
        <w:t>and observed daily.</w:t>
      </w:r>
    </w:p>
    <w:p w14:paraId="23D545A7" w14:textId="77777777" w:rsidR="00083C7E" w:rsidRDefault="00083C7E">
      <w:pPr>
        <w:spacing w:line="276" w:lineRule="auto"/>
        <w:jc w:val="both"/>
        <w:rPr>
          <w:rFonts w:ascii="Arial" w:hAnsi="Arial" w:cs="Arial"/>
          <w:sz w:val="22"/>
          <w:szCs w:val="22"/>
        </w:rPr>
      </w:pPr>
    </w:p>
    <w:p w14:paraId="47DDDA0E" w14:textId="77777777" w:rsidR="00083C7E" w:rsidRDefault="00047EFE" w:rsidP="0060416A">
      <w:pPr>
        <w:pStyle w:val="Paragraf"/>
        <w:spacing w:line="276" w:lineRule="auto"/>
        <w:ind w:firstLine="0"/>
        <w:outlineLvl w:val="0"/>
        <w:rPr>
          <w:rFonts w:ascii="Arial" w:hAnsi="Arial"/>
          <w:sz w:val="22"/>
          <w:szCs w:val="22"/>
          <w:lang w:val="en-US"/>
        </w:rPr>
      </w:pPr>
      <w:r>
        <w:rPr>
          <w:rFonts w:ascii="Arial" w:hAnsi="Arial"/>
          <w:sz w:val="22"/>
          <w:szCs w:val="22"/>
          <w:lang w:val="en-US"/>
        </w:rPr>
        <w:t>Research design</w:t>
      </w:r>
    </w:p>
    <w:p w14:paraId="25032261" w14:textId="77777777" w:rsidR="00083C7E" w:rsidRDefault="00047EFE">
      <w:pPr>
        <w:pStyle w:val="Paragraf"/>
        <w:spacing w:line="276" w:lineRule="auto"/>
        <w:ind w:firstLine="0"/>
        <w:rPr>
          <w:rFonts w:ascii="Arial" w:hAnsi="Arial"/>
          <w:sz w:val="22"/>
          <w:szCs w:val="22"/>
        </w:rPr>
      </w:pPr>
      <w:r>
        <w:rPr>
          <w:rFonts w:ascii="Arial" w:hAnsi="Arial"/>
          <w:sz w:val="22"/>
          <w:szCs w:val="22"/>
        </w:rPr>
        <w:t>The research design consisted</w:t>
      </w:r>
      <w:r>
        <w:rPr>
          <w:rFonts w:ascii="Arial" w:hAnsi="Arial"/>
          <w:sz w:val="22"/>
          <w:szCs w:val="22"/>
          <w:lang w:val="en-US"/>
        </w:rPr>
        <w:t xml:space="preserve"> of</w:t>
      </w:r>
      <w:r>
        <w:rPr>
          <w:rFonts w:ascii="Arial" w:hAnsi="Arial"/>
          <w:sz w:val="22"/>
          <w:szCs w:val="22"/>
        </w:rPr>
        <w:t xml:space="preserve"> artificial feeds prepared as various treatments, which consists of various concentrations of </w:t>
      </w:r>
      <w:r>
        <w:rPr>
          <w:rFonts w:ascii="Arial" w:hAnsi="Arial"/>
          <w:i/>
          <w:sz w:val="22"/>
          <w:szCs w:val="22"/>
        </w:rPr>
        <w:t>B. subtilis</w:t>
      </w:r>
      <w:r>
        <w:rPr>
          <w:rFonts w:ascii="Arial" w:hAnsi="Arial"/>
          <w:sz w:val="22"/>
          <w:szCs w:val="22"/>
        </w:rPr>
        <w:t xml:space="preserve"> and banana flour. They include treatment A, which does not contain </w:t>
      </w:r>
      <w:r>
        <w:rPr>
          <w:rFonts w:ascii="Arial" w:hAnsi="Arial"/>
          <w:i/>
          <w:sz w:val="22"/>
          <w:szCs w:val="22"/>
        </w:rPr>
        <w:t>B. subtilis</w:t>
      </w:r>
      <w:r>
        <w:rPr>
          <w:rFonts w:ascii="Arial" w:hAnsi="Arial"/>
          <w:sz w:val="22"/>
          <w:szCs w:val="22"/>
        </w:rPr>
        <w:t xml:space="preserve"> an</w:t>
      </w:r>
      <w:r>
        <w:rPr>
          <w:rFonts w:ascii="Arial" w:hAnsi="Arial"/>
          <w:sz w:val="22"/>
          <w:szCs w:val="22"/>
        </w:rPr>
        <w:t>d banana flour, and also treatment B,C and D, which consists of B. subtilis at concentrations of 10</w:t>
      </w:r>
      <w:r>
        <w:rPr>
          <w:rFonts w:ascii="Arial" w:hAnsi="Arial"/>
          <w:sz w:val="22"/>
          <w:szCs w:val="22"/>
          <w:vertAlign w:val="superscript"/>
        </w:rPr>
        <w:t>5</w:t>
      </w:r>
      <w:r>
        <w:rPr>
          <w:rFonts w:ascii="Arial" w:hAnsi="Arial"/>
          <w:sz w:val="22"/>
          <w:szCs w:val="22"/>
        </w:rPr>
        <w:t xml:space="preserve"> CFU / mL, 10</w:t>
      </w:r>
      <w:r>
        <w:rPr>
          <w:rFonts w:ascii="Arial" w:hAnsi="Arial"/>
          <w:sz w:val="22"/>
          <w:szCs w:val="22"/>
          <w:vertAlign w:val="superscript"/>
        </w:rPr>
        <w:t xml:space="preserve">7 </w:t>
      </w:r>
      <w:r>
        <w:rPr>
          <w:rFonts w:ascii="Arial" w:hAnsi="Arial"/>
          <w:sz w:val="22"/>
          <w:szCs w:val="22"/>
        </w:rPr>
        <w:t>CFU / mL, and 10</w:t>
      </w:r>
      <w:r>
        <w:rPr>
          <w:rFonts w:ascii="Arial" w:hAnsi="Arial"/>
          <w:sz w:val="22"/>
          <w:szCs w:val="22"/>
          <w:vertAlign w:val="superscript"/>
        </w:rPr>
        <w:t xml:space="preserve">9 </w:t>
      </w:r>
      <w:r>
        <w:rPr>
          <w:rFonts w:ascii="Arial" w:hAnsi="Arial"/>
          <w:sz w:val="22"/>
          <w:szCs w:val="22"/>
        </w:rPr>
        <w:t xml:space="preserve">CFU / mL, respectively, as well as 1% banana flour. There were </w:t>
      </w:r>
      <w:r>
        <w:rPr>
          <w:rFonts w:ascii="Arial" w:hAnsi="Arial"/>
          <w:sz w:val="22"/>
          <w:szCs w:val="22"/>
          <w:lang w:val="en-US"/>
        </w:rPr>
        <w:t xml:space="preserve">3 replica of the three </w:t>
      </w:r>
      <w:r>
        <w:rPr>
          <w:rFonts w:ascii="Arial" w:hAnsi="Arial"/>
          <w:sz w:val="22"/>
          <w:szCs w:val="22"/>
        </w:rPr>
        <w:t>treatment</w:t>
      </w:r>
      <w:r>
        <w:rPr>
          <w:rFonts w:ascii="Arial" w:hAnsi="Arial"/>
          <w:sz w:val="22"/>
          <w:szCs w:val="22"/>
          <w:lang w:val="en-US"/>
        </w:rPr>
        <w:t>s, as well as</w:t>
      </w:r>
      <w:r>
        <w:rPr>
          <w:rFonts w:ascii="Arial" w:hAnsi="Arial"/>
          <w:sz w:val="22"/>
          <w:szCs w:val="22"/>
        </w:rPr>
        <w:t xml:space="preserve"> 3 replica of t</w:t>
      </w:r>
      <w:r>
        <w:rPr>
          <w:rFonts w:ascii="Arial" w:hAnsi="Arial"/>
          <w:sz w:val="22"/>
          <w:szCs w:val="22"/>
        </w:rPr>
        <w:t xml:space="preserve">he control set up totaling 12 aquariums. </w:t>
      </w:r>
      <w:r>
        <w:rPr>
          <w:rFonts w:ascii="Arial" w:hAnsi="Arial"/>
          <w:sz w:val="22"/>
          <w:szCs w:val="22"/>
          <w:lang w:val="en-US"/>
        </w:rPr>
        <w:t>According to</w:t>
      </w:r>
      <w:r>
        <w:rPr>
          <w:rFonts w:ascii="Arial" w:hAnsi="Arial"/>
          <w:sz w:val="22"/>
          <w:lang w:val="en-US"/>
        </w:rPr>
        <w:t xml:space="preserve"> </w:t>
      </w:r>
      <w:r w:rsidR="00AF4D33">
        <w:rPr>
          <w:rFonts w:ascii="Arial" w:hAnsi="Arial"/>
          <w:sz w:val="22"/>
          <w:szCs w:val="22"/>
        </w:rPr>
        <w:t>Kurniawan et al.</w:t>
      </w:r>
      <w:r>
        <w:rPr>
          <w:rFonts w:ascii="Arial" w:hAnsi="Arial"/>
          <w:sz w:val="22"/>
          <w:szCs w:val="22"/>
        </w:rPr>
        <w:t xml:space="preserve"> (2019), this research aims to </w:t>
      </w:r>
      <w:r>
        <w:rPr>
          <w:rFonts w:ascii="Arial" w:hAnsi="Arial"/>
          <w:sz w:val="22"/>
          <w:szCs w:val="22"/>
          <w:lang w:val="en-US"/>
        </w:rPr>
        <w:t>determine</w:t>
      </w:r>
      <w:r>
        <w:rPr>
          <w:rFonts w:ascii="Arial" w:hAnsi="Arial"/>
          <w:sz w:val="22"/>
          <w:szCs w:val="22"/>
        </w:rPr>
        <w:t xml:space="preserve"> the immune response of tilapia</w:t>
      </w:r>
      <w:r>
        <w:rPr>
          <w:rFonts w:ascii="Arial" w:hAnsi="Arial"/>
          <w:sz w:val="22"/>
          <w:szCs w:val="22"/>
          <w:lang w:val="en-US"/>
        </w:rPr>
        <w:t xml:space="preserve"> to symbiont feed</w:t>
      </w:r>
      <w:r>
        <w:rPr>
          <w:rFonts w:ascii="Arial" w:hAnsi="Arial"/>
          <w:sz w:val="22"/>
          <w:szCs w:val="22"/>
        </w:rPr>
        <w:t>.</w:t>
      </w:r>
    </w:p>
    <w:p w14:paraId="044AAE2C" w14:textId="77777777" w:rsidR="00083C7E" w:rsidRDefault="00083C7E">
      <w:pPr>
        <w:pStyle w:val="Paragraf"/>
        <w:spacing w:line="276" w:lineRule="auto"/>
        <w:ind w:firstLine="0"/>
        <w:rPr>
          <w:rFonts w:ascii="Arial" w:hAnsi="Arial"/>
          <w:sz w:val="22"/>
          <w:szCs w:val="22"/>
        </w:rPr>
      </w:pPr>
    </w:p>
    <w:p w14:paraId="400873AC" w14:textId="77777777" w:rsidR="00083C7E" w:rsidRDefault="00047EFE" w:rsidP="0060416A">
      <w:pPr>
        <w:pStyle w:val="Paragraf"/>
        <w:spacing w:line="276" w:lineRule="auto"/>
        <w:ind w:firstLine="0"/>
        <w:outlineLvl w:val="0"/>
        <w:rPr>
          <w:rFonts w:ascii="Arial" w:hAnsi="Arial"/>
          <w:sz w:val="22"/>
          <w:szCs w:val="22"/>
          <w:lang w:val="en-US"/>
        </w:rPr>
      </w:pPr>
      <w:r>
        <w:rPr>
          <w:rFonts w:ascii="Arial" w:hAnsi="Arial"/>
          <w:sz w:val="22"/>
          <w:szCs w:val="22"/>
        </w:rPr>
        <w:t>Observed parameters</w:t>
      </w:r>
    </w:p>
    <w:p w14:paraId="1F4A7556" w14:textId="77777777" w:rsidR="00083C7E" w:rsidRPr="00AF4D33" w:rsidRDefault="00047EFE" w:rsidP="00AF4D33">
      <w:pPr>
        <w:spacing w:line="276" w:lineRule="auto"/>
        <w:ind w:firstLine="720"/>
        <w:jc w:val="both"/>
        <w:rPr>
          <w:rFonts w:ascii="Arial" w:hAnsi="Arial" w:cs="Arial"/>
          <w:sz w:val="22"/>
          <w:szCs w:val="22"/>
        </w:rPr>
      </w:pPr>
      <w:r>
        <w:rPr>
          <w:rFonts w:ascii="Arial" w:hAnsi="Arial"/>
          <w:sz w:val="22"/>
          <w:szCs w:val="22"/>
        </w:rPr>
        <w:t xml:space="preserve">The survival rate of fish (survival) is calculated by comparing the </w:t>
      </w:r>
      <w:r>
        <w:rPr>
          <w:rFonts w:ascii="Arial" w:hAnsi="Arial"/>
          <w:sz w:val="22"/>
          <w:szCs w:val="22"/>
        </w:rPr>
        <w:t>percentage of fish at the end of the rearing period to the number of fish at the beginning of the rearing period. More so, the formula below was used to calculate the survival r</w:t>
      </w:r>
      <w:r w:rsidR="0060416A">
        <w:rPr>
          <w:rFonts w:ascii="Arial" w:hAnsi="Arial"/>
          <w:sz w:val="22"/>
          <w:szCs w:val="22"/>
        </w:rPr>
        <w:t>ate of fish given by Effendi (</w:t>
      </w:r>
      <w:r>
        <w:rPr>
          <w:rFonts w:ascii="Arial" w:hAnsi="Arial"/>
          <w:sz w:val="22"/>
          <w:szCs w:val="22"/>
        </w:rPr>
        <w:t>1997</w:t>
      </w:r>
      <w:r w:rsidR="0060416A">
        <w:rPr>
          <w:rFonts w:ascii="Arial" w:hAnsi="Arial"/>
          <w:sz w:val="22"/>
          <w:szCs w:val="22"/>
        </w:rPr>
        <w:t>)</w:t>
      </w:r>
      <w:r>
        <w:rPr>
          <w:rFonts w:ascii="Arial" w:hAnsi="Arial"/>
          <w:sz w:val="22"/>
          <w:szCs w:val="22"/>
        </w:rPr>
        <w:t xml:space="preserve"> as follows: Survival </w:t>
      </w:r>
      <w:r w:rsidR="0060416A">
        <w:rPr>
          <w:rFonts w:ascii="Arial" w:hAnsi="Arial"/>
          <w:sz w:val="22"/>
          <w:szCs w:val="22"/>
        </w:rPr>
        <w:t>rate</w:t>
      </w:r>
      <w:r>
        <w:rPr>
          <w:rFonts w:ascii="Arial" w:hAnsi="Arial"/>
          <w:sz w:val="22"/>
          <w:szCs w:val="22"/>
        </w:rPr>
        <w:t>= (Nt/No) x 100%, whe</w:t>
      </w:r>
      <w:r>
        <w:rPr>
          <w:rFonts w:ascii="Arial" w:hAnsi="Arial"/>
          <w:sz w:val="22"/>
          <w:szCs w:val="22"/>
        </w:rPr>
        <w:t>re Nt is the population at t (tail) and No is the initial population (tail). Similarly, the Tacon (1987) formula was used to calculate the Feed Conver</w:t>
      </w:r>
      <w:r w:rsidR="00AF4D33">
        <w:rPr>
          <w:rFonts w:ascii="Arial" w:hAnsi="Arial"/>
          <w:sz w:val="22"/>
          <w:szCs w:val="22"/>
        </w:rPr>
        <w:t>sion Ratio (FCR): FCR = (Wt–Wo)/</w:t>
      </w:r>
      <w:r>
        <w:rPr>
          <w:rFonts w:ascii="Arial" w:hAnsi="Arial"/>
          <w:sz w:val="22"/>
          <w:szCs w:val="22"/>
        </w:rPr>
        <w:t>F, where FCR is the Feed Conversation Ratio, Wt is the total weight of t</w:t>
      </w:r>
      <w:r>
        <w:rPr>
          <w:rFonts w:ascii="Arial" w:hAnsi="Arial"/>
          <w:sz w:val="22"/>
          <w:szCs w:val="22"/>
        </w:rPr>
        <w:t>est animals at the end of the study (gr), and Wo is the total weight of test animals at the beginning or end of the study (gr), F is the amount of feed consumed during the study (gr). Additionally, weight gain (WG) was also calculated using the formula Bod</w:t>
      </w:r>
      <w:r>
        <w:rPr>
          <w:rFonts w:ascii="Arial" w:hAnsi="Arial"/>
          <w:sz w:val="22"/>
          <w:szCs w:val="22"/>
        </w:rPr>
        <w:t>y Weight (WG) (gr) = final weight - initial weight. The following formula was postulated Huisman 1987) was used to calculate the Specific Growth Rate (SGR): Specific Growth (%/day) = 100 x (Ln (W2)-Ln (W1))/long maintenance.</w:t>
      </w:r>
    </w:p>
    <w:p w14:paraId="068434A5" w14:textId="77777777" w:rsidR="00083C7E" w:rsidRDefault="00047EFE">
      <w:pPr>
        <w:spacing w:line="276" w:lineRule="auto"/>
        <w:ind w:firstLine="720"/>
        <w:jc w:val="both"/>
        <w:rPr>
          <w:rFonts w:ascii="Arial" w:hAnsi="Arial" w:cs="Arial"/>
          <w:sz w:val="22"/>
          <w:szCs w:val="22"/>
        </w:rPr>
      </w:pPr>
      <w:r>
        <w:rPr>
          <w:rFonts w:ascii="Arial" w:hAnsi="Arial"/>
          <w:sz w:val="22"/>
          <w:szCs w:val="22"/>
        </w:rPr>
        <w:t>Meanwhile, measurement of body</w:t>
      </w:r>
      <w:r>
        <w:rPr>
          <w:rFonts w:ascii="Arial" w:hAnsi="Arial"/>
          <w:sz w:val="22"/>
          <w:szCs w:val="22"/>
        </w:rPr>
        <w:t xml:space="preserve"> physical index was carried out using clove oil which was then cooled to -4 </w:t>
      </w:r>
      <w:r>
        <w:rPr>
          <w:rFonts w:ascii="Arial" w:hAnsi="Arial"/>
          <w:sz w:val="22"/>
          <w:szCs w:val="22"/>
          <w:vertAlign w:val="superscript"/>
        </w:rPr>
        <w:t>o</w:t>
      </w:r>
      <w:r>
        <w:rPr>
          <w:rFonts w:ascii="Arial" w:hAnsi="Arial"/>
          <w:sz w:val="22"/>
          <w:szCs w:val="22"/>
        </w:rPr>
        <w:t>C in order to preserve the fish. Three fish from each aquarium were taken from each treatment in order to obtain recordings of their weights and lengths. Furthermore, they were di</w:t>
      </w:r>
      <w:r>
        <w:rPr>
          <w:rFonts w:ascii="Arial" w:hAnsi="Arial"/>
          <w:sz w:val="22"/>
          <w:szCs w:val="22"/>
        </w:rPr>
        <w:t>ssected to determine the factors of their liver weight, digestive tract, and condition o</w:t>
      </w:r>
      <w:r w:rsidR="00AF4D33">
        <w:rPr>
          <w:rFonts w:ascii="Arial" w:hAnsi="Arial"/>
          <w:sz w:val="22"/>
          <w:szCs w:val="22"/>
        </w:rPr>
        <w:t>f the fish kept (Abarike et al. 2013; Amoah et al.</w:t>
      </w:r>
      <w:r>
        <w:rPr>
          <w:rFonts w:ascii="Arial" w:hAnsi="Arial"/>
          <w:sz w:val="22"/>
          <w:szCs w:val="22"/>
        </w:rPr>
        <w:t xml:space="preserve"> 2019). Also, the percentage of the hepatosomatic index (HSI) was calculated using Nikolsky's formula postulated in </w:t>
      </w:r>
      <w:r>
        <w:rPr>
          <w:rFonts w:ascii="Arial" w:hAnsi="Arial"/>
          <w:sz w:val="22"/>
          <w:szCs w:val="22"/>
        </w:rPr>
        <w:t>1969 a</w:t>
      </w:r>
      <w:r w:rsidR="00AF4D33">
        <w:rPr>
          <w:rFonts w:ascii="Arial" w:hAnsi="Arial"/>
          <w:sz w:val="22"/>
          <w:szCs w:val="22"/>
        </w:rPr>
        <w:t>s follows: HSI = (Heart Weight/</w:t>
      </w:r>
      <w:r>
        <w:rPr>
          <w:rFonts w:ascii="Arial" w:hAnsi="Arial"/>
          <w:sz w:val="22"/>
          <w:szCs w:val="22"/>
        </w:rPr>
        <w:t xml:space="preserve">Fish Body Weight) × 100 %. Similarly, the percentage of the digestive somatic index (DSI) was calculated </w:t>
      </w:r>
      <w:r w:rsidR="00AF4D33">
        <w:rPr>
          <w:rFonts w:ascii="Arial" w:hAnsi="Arial"/>
          <w:sz w:val="22"/>
          <w:szCs w:val="22"/>
        </w:rPr>
        <w:t>as DSI= (Digestive Tract Weight/</w:t>
      </w:r>
      <w:r>
        <w:rPr>
          <w:rFonts w:ascii="Arial" w:hAnsi="Arial"/>
          <w:sz w:val="22"/>
          <w:szCs w:val="22"/>
        </w:rPr>
        <w:t>Fish Body Weight) ×100 %. Lastly, the Condition Factor (K) given in g/cm3, was</w:t>
      </w:r>
      <w:r>
        <w:rPr>
          <w:rFonts w:ascii="Arial" w:hAnsi="Arial"/>
          <w:sz w:val="22"/>
          <w:szCs w:val="22"/>
        </w:rPr>
        <w:t xml:space="preserve"> calculated using the Le Cren formula of 1951, a</w:t>
      </w:r>
      <w:r w:rsidR="00AF4D33">
        <w:rPr>
          <w:rFonts w:ascii="Arial" w:hAnsi="Arial"/>
          <w:sz w:val="22"/>
          <w:szCs w:val="22"/>
        </w:rPr>
        <w:t>s follows: K= (Fish Body Weight/</w:t>
      </w:r>
      <w:r>
        <w:rPr>
          <w:rFonts w:ascii="Arial" w:hAnsi="Arial"/>
          <w:sz w:val="22"/>
          <w:szCs w:val="22"/>
        </w:rPr>
        <w:t>(Fish Body Length)</w:t>
      </w:r>
      <w:r>
        <w:rPr>
          <w:rFonts w:ascii="Arial" w:hAnsi="Arial"/>
          <w:sz w:val="22"/>
          <w:szCs w:val="22"/>
          <w:vertAlign w:val="superscript"/>
        </w:rPr>
        <w:t>3</w:t>
      </w:r>
      <w:r>
        <w:rPr>
          <w:rFonts w:ascii="Arial" w:hAnsi="Arial"/>
          <w:sz w:val="22"/>
          <w:szCs w:val="22"/>
        </w:rPr>
        <w:t>) × 100.</w:t>
      </w:r>
      <w:r>
        <w:rPr>
          <w:rFonts w:ascii="Arial" w:hAnsi="Arial" w:cs="Arial"/>
          <w:sz w:val="22"/>
          <w:szCs w:val="22"/>
        </w:rPr>
        <w:t xml:space="preserve"> </w:t>
      </w:r>
    </w:p>
    <w:p w14:paraId="18E44D99" w14:textId="77777777" w:rsidR="00083C7E" w:rsidRDefault="00083C7E">
      <w:pPr>
        <w:outlineLvl w:val="0"/>
        <w:rPr>
          <w:rFonts w:ascii="Arial" w:hAnsi="Arial" w:cs="Arial"/>
          <w:i/>
          <w:sz w:val="22"/>
          <w:szCs w:val="22"/>
        </w:rPr>
      </w:pPr>
    </w:p>
    <w:p w14:paraId="0981AE24" w14:textId="77777777" w:rsidR="00083C7E" w:rsidRDefault="00047EFE" w:rsidP="0060416A">
      <w:pPr>
        <w:outlineLvl w:val="0"/>
        <w:rPr>
          <w:rFonts w:ascii="Arial" w:hAnsi="Arial" w:cs="Arial"/>
          <w:i/>
          <w:sz w:val="22"/>
          <w:szCs w:val="22"/>
        </w:rPr>
      </w:pPr>
      <w:r>
        <w:rPr>
          <w:rFonts w:ascii="Arial" w:hAnsi="Arial"/>
          <w:i/>
          <w:sz w:val="22"/>
          <w:szCs w:val="22"/>
        </w:rPr>
        <w:t>Data analysis</w:t>
      </w:r>
    </w:p>
    <w:p w14:paraId="4F026076" w14:textId="77777777" w:rsidR="00083C7E" w:rsidRDefault="00047EFE">
      <w:pPr>
        <w:jc w:val="both"/>
        <w:rPr>
          <w:rFonts w:ascii="Arial" w:hAnsi="Arial" w:cs="Arial"/>
          <w:sz w:val="22"/>
          <w:szCs w:val="22"/>
        </w:rPr>
      </w:pPr>
      <w:r>
        <w:rPr>
          <w:rFonts w:ascii="Arial" w:hAnsi="Arial"/>
          <w:sz w:val="22"/>
          <w:szCs w:val="22"/>
        </w:rPr>
        <w:lastRenderedPageBreak/>
        <w:t xml:space="preserve">The data was tabulated in MS.Office Excel 2013 and analysed using ANOVA in Minitab version 16 with a 95% confidence interval. </w:t>
      </w:r>
      <w:r>
        <w:rPr>
          <w:rFonts w:ascii="Arial" w:hAnsi="Arial"/>
          <w:sz w:val="22"/>
          <w:szCs w:val="22"/>
        </w:rPr>
        <w:t>However, if there is a significant difference, the Tukey test was used.</w:t>
      </w:r>
    </w:p>
    <w:p w14:paraId="293B705A" w14:textId="77777777" w:rsidR="00083C7E" w:rsidRDefault="00083C7E">
      <w:pPr>
        <w:rPr>
          <w:rFonts w:ascii="Arial" w:hAnsi="Arial" w:cs="Arial"/>
          <w:sz w:val="22"/>
          <w:szCs w:val="22"/>
        </w:rPr>
      </w:pPr>
    </w:p>
    <w:p w14:paraId="6851EC3B" w14:textId="77777777" w:rsidR="00083C7E" w:rsidRDefault="00047EFE" w:rsidP="0060416A">
      <w:pPr>
        <w:outlineLvl w:val="0"/>
        <w:rPr>
          <w:rFonts w:ascii="Arial" w:hAnsi="Arial" w:cs="Arial"/>
          <w:b/>
          <w:sz w:val="22"/>
          <w:szCs w:val="22"/>
        </w:rPr>
      </w:pPr>
      <w:r>
        <w:rPr>
          <w:rFonts w:ascii="Arial" w:hAnsi="Arial"/>
          <w:b/>
          <w:sz w:val="22"/>
          <w:szCs w:val="22"/>
        </w:rPr>
        <w:t>RESULTS AND DISCUSSION</w:t>
      </w:r>
    </w:p>
    <w:p w14:paraId="29E094D6" w14:textId="77777777" w:rsidR="00083C7E" w:rsidRDefault="00083C7E">
      <w:pPr>
        <w:rPr>
          <w:rFonts w:ascii="Arial" w:hAnsi="Arial" w:cs="Arial"/>
          <w:b/>
          <w:sz w:val="28"/>
        </w:rPr>
      </w:pPr>
    </w:p>
    <w:p w14:paraId="27BAA3D2" w14:textId="77777777" w:rsidR="00083C7E" w:rsidRDefault="00047EFE" w:rsidP="0060416A">
      <w:pPr>
        <w:outlineLvl w:val="0"/>
        <w:rPr>
          <w:rFonts w:ascii="Arial" w:hAnsi="Arial" w:cs="Arial"/>
          <w:sz w:val="22"/>
          <w:szCs w:val="22"/>
        </w:rPr>
      </w:pPr>
      <w:r>
        <w:rPr>
          <w:rFonts w:ascii="Arial" w:hAnsi="Arial"/>
          <w:i/>
          <w:sz w:val="22"/>
          <w:szCs w:val="22"/>
        </w:rPr>
        <w:t>Results</w:t>
      </w:r>
    </w:p>
    <w:p w14:paraId="3E2B6D1B" w14:textId="77777777" w:rsidR="00083C7E" w:rsidRDefault="00083C7E">
      <w:pPr>
        <w:rPr>
          <w:rFonts w:ascii="Arial" w:hAnsi="Arial" w:cs="Arial"/>
          <w:b/>
          <w:sz w:val="28"/>
        </w:rPr>
      </w:pPr>
    </w:p>
    <w:p w14:paraId="23057908" w14:textId="77777777" w:rsidR="00083C7E" w:rsidRDefault="00047EFE">
      <w:pPr>
        <w:jc w:val="both"/>
        <w:rPr>
          <w:rFonts w:ascii="Arial" w:hAnsi="Arial"/>
          <w:sz w:val="22"/>
          <w:szCs w:val="22"/>
        </w:rPr>
      </w:pPr>
      <w:r>
        <w:rPr>
          <w:rFonts w:ascii="Arial" w:hAnsi="Arial"/>
          <w:sz w:val="22"/>
          <w:szCs w:val="22"/>
        </w:rPr>
        <w:t>The results of the Survival</w:t>
      </w:r>
      <w:r w:rsidR="00AF4D33">
        <w:rPr>
          <w:rFonts w:ascii="Arial" w:hAnsi="Arial"/>
          <w:sz w:val="22"/>
          <w:szCs w:val="22"/>
        </w:rPr>
        <w:t xml:space="preserve"> Rate</w:t>
      </w:r>
      <w:r>
        <w:rPr>
          <w:rFonts w:ascii="Arial" w:hAnsi="Arial"/>
          <w:sz w:val="22"/>
          <w:szCs w:val="22"/>
        </w:rPr>
        <w:t>, Body Weight (WG), Specific Growth Rate (SGR) and FCR were obtained as follows.</w:t>
      </w:r>
    </w:p>
    <w:p w14:paraId="2400E1AE" w14:textId="77777777" w:rsidR="00083C7E" w:rsidRDefault="00047EFE">
      <w:pPr>
        <w:jc w:val="both"/>
        <w:rPr>
          <w:rFonts w:ascii="Arial" w:hAnsi="Arial" w:cs="Arial"/>
          <w:sz w:val="22"/>
          <w:szCs w:val="22"/>
        </w:rPr>
      </w:pPr>
      <w:r>
        <w:rPr>
          <w:rFonts w:ascii="Arial" w:hAnsi="Arial"/>
          <w:sz w:val="22"/>
          <w:szCs w:val="22"/>
        </w:rPr>
        <w:t>Tilapia survival from each treatment range</w:t>
      </w:r>
      <w:r>
        <w:rPr>
          <w:rFonts w:ascii="Arial" w:hAnsi="Arial"/>
          <w:sz w:val="22"/>
          <w:szCs w:val="22"/>
        </w:rPr>
        <w:t>d from 95.00 to 96.67%, which was not significantly different (P&gt;0.05), and body weight (WG) ranged between 2.33-3.49 g, SGR ranged from 0.61-1.14 %/day, whereas FCR ranged from 0.07-1.05, which was also not significantly different (P&gt;0.05). In addition, T</w:t>
      </w:r>
      <w:r>
        <w:rPr>
          <w:rFonts w:ascii="Arial" w:hAnsi="Arial"/>
          <w:sz w:val="22"/>
          <w:szCs w:val="22"/>
        </w:rPr>
        <w:t>able 1 shows the survival rates, WG, SGR, and FCR of saline tilapia in the treatment during the study.</w:t>
      </w:r>
    </w:p>
    <w:p w14:paraId="50DE8569" w14:textId="77777777" w:rsidR="00083C7E" w:rsidRDefault="00083C7E">
      <w:pPr>
        <w:rPr>
          <w:rFonts w:ascii="Arial" w:hAnsi="Arial" w:cs="Arial"/>
          <w:sz w:val="22"/>
          <w:szCs w:val="22"/>
        </w:rPr>
      </w:pPr>
    </w:p>
    <w:p w14:paraId="03B0E5A4" w14:textId="77777777" w:rsidR="00083C7E" w:rsidRDefault="00047EFE">
      <w:pPr>
        <w:ind w:left="1134" w:hanging="1134"/>
        <w:jc w:val="both"/>
        <w:rPr>
          <w:rFonts w:ascii="Arial" w:hAnsi="Arial" w:cs="Arial"/>
        </w:rPr>
      </w:pPr>
      <w:r>
        <w:rPr>
          <w:rFonts w:ascii="Arial" w:hAnsi="Arial" w:cs="Arial"/>
        </w:rPr>
        <w:t>T</w:t>
      </w:r>
      <w:r>
        <w:rPr>
          <w:rFonts w:ascii="Arial" w:hAnsi="Arial" w:cs="Arial"/>
          <w:sz w:val="22"/>
        </w:rPr>
        <w:t xml:space="preserve">able 1.  </w:t>
      </w:r>
      <w:r>
        <w:rPr>
          <w:rFonts w:ascii="Arial" w:hAnsi="Arial"/>
          <w:sz w:val="22"/>
        </w:rPr>
        <w:t>Survival</w:t>
      </w:r>
      <w:r w:rsidR="0060416A">
        <w:rPr>
          <w:rFonts w:ascii="Arial" w:hAnsi="Arial"/>
          <w:sz w:val="22"/>
        </w:rPr>
        <w:t xml:space="preserve"> Rate</w:t>
      </w:r>
      <w:r>
        <w:rPr>
          <w:rFonts w:ascii="Arial" w:hAnsi="Arial"/>
          <w:sz w:val="22"/>
        </w:rPr>
        <w:t>, WG, SGR, and FCR treated during the Study</w:t>
      </w:r>
    </w:p>
    <w:tbl>
      <w:tblPr>
        <w:tblStyle w:val="TableGrid"/>
        <w:tblW w:w="8688" w:type="dxa"/>
        <w:tblLook w:val="04A0" w:firstRow="1" w:lastRow="0" w:firstColumn="1" w:lastColumn="0" w:noHBand="0" w:noVBand="1"/>
      </w:tblPr>
      <w:tblGrid>
        <w:gridCol w:w="1775"/>
        <w:gridCol w:w="1727"/>
        <w:gridCol w:w="1728"/>
        <w:gridCol w:w="1728"/>
        <w:gridCol w:w="1730"/>
      </w:tblGrid>
      <w:tr w:rsidR="00083C7E" w14:paraId="6D3CD413" w14:textId="77777777">
        <w:trPr>
          <w:trHeight w:val="648"/>
        </w:trPr>
        <w:tc>
          <w:tcPr>
            <w:tcW w:w="1775" w:type="dxa"/>
            <w:tcBorders>
              <w:left w:val="nil"/>
              <w:bottom w:val="single" w:sz="4" w:space="0" w:color="auto"/>
              <w:right w:val="nil"/>
            </w:tcBorders>
            <w:vAlign w:val="center"/>
          </w:tcPr>
          <w:p w14:paraId="3466658C" w14:textId="77777777" w:rsidR="00083C7E" w:rsidRDefault="00047EFE">
            <w:pPr>
              <w:jc w:val="center"/>
              <w:rPr>
                <w:rFonts w:ascii="Arial" w:hAnsi="Arial" w:cs="Arial"/>
                <w:sz w:val="22"/>
                <w:szCs w:val="22"/>
                <w:lang w:val="zh-CN"/>
              </w:rPr>
            </w:pPr>
            <w:r>
              <w:rPr>
                <w:rFonts w:ascii="Arial" w:hAnsi="Arial"/>
                <w:sz w:val="22"/>
                <w:lang w:val="zh-CN"/>
              </w:rPr>
              <w:t>Treatment</w:t>
            </w:r>
          </w:p>
        </w:tc>
        <w:tc>
          <w:tcPr>
            <w:tcW w:w="1727" w:type="dxa"/>
            <w:tcBorders>
              <w:left w:val="nil"/>
              <w:bottom w:val="single" w:sz="4" w:space="0" w:color="auto"/>
              <w:right w:val="nil"/>
            </w:tcBorders>
            <w:vAlign w:val="center"/>
          </w:tcPr>
          <w:p w14:paraId="575282B3" w14:textId="77777777" w:rsidR="00083C7E" w:rsidRDefault="00047EFE">
            <w:pPr>
              <w:jc w:val="center"/>
              <w:rPr>
                <w:rFonts w:ascii="Arial" w:hAnsi="Arial" w:cs="Arial"/>
                <w:sz w:val="22"/>
                <w:szCs w:val="22"/>
                <w:lang w:val="zh-CN"/>
              </w:rPr>
            </w:pPr>
            <w:r>
              <w:rPr>
                <w:rFonts w:ascii="Arial" w:hAnsi="Arial"/>
                <w:sz w:val="22"/>
                <w:lang w:val="zh-CN"/>
              </w:rPr>
              <w:t>Survival</w:t>
            </w:r>
            <w:r w:rsidR="007928BB">
              <w:rPr>
                <w:rFonts w:ascii="Arial" w:hAnsi="Arial"/>
                <w:sz w:val="22"/>
                <w:lang w:val="zh-CN"/>
              </w:rPr>
              <w:t xml:space="preserve"> Rate</w:t>
            </w:r>
            <w:r>
              <w:rPr>
                <w:rFonts w:ascii="Arial" w:hAnsi="Arial"/>
                <w:sz w:val="22"/>
                <w:lang w:val="zh-CN"/>
              </w:rPr>
              <w:t>(%)</w:t>
            </w:r>
          </w:p>
        </w:tc>
        <w:tc>
          <w:tcPr>
            <w:tcW w:w="1728" w:type="dxa"/>
            <w:tcBorders>
              <w:left w:val="nil"/>
              <w:bottom w:val="single" w:sz="4" w:space="0" w:color="auto"/>
              <w:right w:val="nil"/>
            </w:tcBorders>
            <w:vAlign w:val="center"/>
          </w:tcPr>
          <w:p w14:paraId="136CFAE0" w14:textId="77777777" w:rsidR="00083C7E" w:rsidRDefault="00047EFE">
            <w:pPr>
              <w:jc w:val="center"/>
              <w:rPr>
                <w:rFonts w:ascii="Arial" w:hAnsi="Arial" w:cs="Arial"/>
                <w:sz w:val="22"/>
                <w:szCs w:val="22"/>
                <w:lang w:val="zh-CN"/>
              </w:rPr>
            </w:pPr>
            <w:r>
              <w:rPr>
                <w:rFonts w:ascii="Arial" w:hAnsi="Arial"/>
                <w:sz w:val="22"/>
                <w:lang w:val="zh-CN"/>
              </w:rPr>
              <w:t>WG(gr)</w:t>
            </w:r>
          </w:p>
        </w:tc>
        <w:tc>
          <w:tcPr>
            <w:tcW w:w="1728" w:type="dxa"/>
            <w:tcBorders>
              <w:left w:val="nil"/>
              <w:bottom w:val="single" w:sz="4" w:space="0" w:color="auto"/>
              <w:right w:val="nil"/>
            </w:tcBorders>
            <w:vAlign w:val="center"/>
          </w:tcPr>
          <w:p w14:paraId="56E121CA" w14:textId="77777777" w:rsidR="00083C7E" w:rsidRDefault="00047EFE">
            <w:pPr>
              <w:jc w:val="center"/>
              <w:rPr>
                <w:rFonts w:ascii="Arial" w:hAnsi="Arial" w:cs="Arial"/>
                <w:sz w:val="22"/>
                <w:szCs w:val="22"/>
                <w:lang w:val="zh-CN"/>
              </w:rPr>
            </w:pPr>
            <w:r>
              <w:rPr>
                <w:rFonts w:ascii="Arial" w:hAnsi="Arial"/>
                <w:sz w:val="22"/>
                <w:lang w:val="zh-CN"/>
              </w:rPr>
              <w:t>SGR(%/day)</w:t>
            </w:r>
          </w:p>
        </w:tc>
        <w:tc>
          <w:tcPr>
            <w:tcW w:w="1730" w:type="dxa"/>
            <w:tcBorders>
              <w:left w:val="nil"/>
              <w:bottom w:val="single" w:sz="4" w:space="0" w:color="auto"/>
              <w:right w:val="nil"/>
            </w:tcBorders>
            <w:vAlign w:val="center"/>
          </w:tcPr>
          <w:p w14:paraId="15DA27FD" w14:textId="77777777" w:rsidR="00083C7E" w:rsidRDefault="00047EFE">
            <w:pPr>
              <w:jc w:val="center"/>
              <w:rPr>
                <w:rFonts w:ascii="Arial" w:hAnsi="Arial" w:cs="Arial"/>
                <w:sz w:val="22"/>
                <w:szCs w:val="22"/>
                <w:lang w:val="zh-CN"/>
              </w:rPr>
            </w:pPr>
            <w:r>
              <w:rPr>
                <w:rFonts w:ascii="Arial" w:hAnsi="Arial"/>
                <w:sz w:val="22"/>
                <w:lang w:val="zh-CN"/>
              </w:rPr>
              <w:t>FCR</w:t>
            </w:r>
          </w:p>
        </w:tc>
      </w:tr>
      <w:tr w:rsidR="00083C7E" w14:paraId="46E8D0BF" w14:textId="77777777">
        <w:trPr>
          <w:trHeight w:val="436"/>
        </w:trPr>
        <w:tc>
          <w:tcPr>
            <w:tcW w:w="1775" w:type="dxa"/>
            <w:tcBorders>
              <w:top w:val="nil"/>
              <w:left w:val="nil"/>
              <w:bottom w:val="nil"/>
              <w:right w:val="nil"/>
            </w:tcBorders>
          </w:tcPr>
          <w:p w14:paraId="51A0BB76" w14:textId="77777777" w:rsidR="00083C7E" w:rsidRDefault="00047EFE">
            <w:pPr>
              <w:spacing w:line="360" w:lineRule="auto"/>
              <w:jc w:val="center"/>
              <w:rPr>
                <w:rFonts w:ascii="Arial" w:hAnsi="Arial" w:cs="Arial"/>
                <w:sz w:val="22"/>
                <w:szCs w:val="22"/>
                <w:lang w:val="zh-CN"/>
              </w:rPr>
            </w:pPr>
            <w:r>
              <w:rPr>
                <w:rFonts w:ascii="Arial" w:hAnsi="Arial"/>
                <w:sz w:val="22"/>
                <w:lang w:val="zh-CN"/>
              </w:rPr>
              <w:t>A</w:t>
            </w:r>
          </w:p>
        </w:tc>
        <w:tc>
          <w:tcPr>
            <w:tcW w:w="1727" w:type="dxa"/>
            <w:tcBorders>
              <w:top w:val="nil"/>
              <w:left w:val="nil"/>
              <w:bottom w:val="nil"/>
              <w:right w:val="nil"/>
            </w:tcBorders>
          </w:tcPr>
          <w:p w14:paraId="1E4480B3" w14:textId="77777777" w:rsidR="00083C7E" w:rsidRDefault="00047EFE">
            <w:pPr>
              <w:spacing w:line="360" w:lineRule="auto"/>
              <w:jc w:val="center"/>
              <w:rPr>
                <w:rFonts w:ascii="Arial" w:hAnsi="Arial" w:cs="Arial"/>
                <w:sz w:val="22"/>
                <w:szCs w:val="22"/>
                <w:vertAlign w:val="superscript"/>
                <w:lang w:val="zh-CN"/>
              </w:rPr>
            </w:pPr>
            <w:r>
              <w:rPr>
                <w:rFonts w:ascii="Arial" w:hAnsi="Arial"/>
                <w:sz w:val="22"/>
                <w:lang w:val="zh-CN"/>
              </w:rPr>
              <w:t>95,00</w:t>
            </w:r>
            <w:r>
              <w:rPr>
                <w:rFonts w:ascii="Symbol" w:hAnsi="Symbol"/>
                <w:sz w:val="22"/>
                <w:lang w:val="zh-CN"/>
              </w:rPr>
              <w:sym w:font="Symbol" w:char="F0B1"/>
            </w:r>
            <w:r>
              <w:rPr>
                <w:rFonts w:ascii="Arial" w:hAnsi="Arial"/>
                <w:sz w:val="22"/>
                <w:lang w:val="zh-CN"/>
              </w:rPr>
              <w:t>4,08</w:t>
            </w:r>
            <w:r>
              <w:rPr>
                <w:rFonts w:ascii="Arial" w:hAnsi="Arial"/>
                <w:sz w:val="22"/>
                <w:vertAlign w:val="superscript"/>
                <w:lang w:val="zh-CN"/>
              </w:rPr>
              <w:t>a</w:t>
            </w:r>
          </w:p>
        </w:tc>
        <w:tc>
          <w:tcPr>
            <w:tcW w:w="1728" w:type="dxa"/>
            <w:tcBorders>
              <w:top w:val="nil"/>
              <w:left w:val="nil"/>
              <w:bottom w:val="nil"/>
              <w:right w:val="nil"/>
            </w:tcBorders>
          </w:tcPr>
          <w:p w14:paraId="450A1CE8" w14:textId="77777777" w:rsidR="00083C7E" w:rsidRDefault="00047EFE">
            <w:pPr>
              <w:spacing w:line="360" w:lineRule="auto"/>
              <w:jc w:val="center"/>
              <w:rPr>
                <w:rFonts w:ascii="Arial" w:hAnsi="Arial" w:cs="Arial"/>
                <w:sz w:val="22"/>
                <w:szCs w:val="22"/>
                <w:lang w:val="zh-CN"/>
              </w:rPr>
            </w:pPr>
            <w:r>
              <w:rPr>
                <w:rFonts w:ascii="Arial" w:hAnsi="Arial"/>
                <w:sz w:val="22"/>
                <w:lang w:val="zh-CN"/>
              </w:rPr>
              <w:t>2,33</w:t>
            </w:r>
            <w:r>
              <w:rPr>
                <w:rFonts w:ascii="Symbol" w:hAnsi="Symbol"/>
                <w:sz w:val="22"/>
                <w:lang w:val="zh-CN"/>
              </w:rPr>
              <w:sym w:font="Symbol" w:char="F0B1"/>
            </w:r>
            <w:r>
              <w:rPr>
                <w:rFonts w:ascii="Arial" w:hAnsi="Arial"/>
                <w:sz w:val="22"/>
                <w:lang w:val="zh-CN"/>
              </w:rPr>
              <w:t>1,65</w:t>
            </w:r>
            <w:r>
              <w:rPr>
                <w:rFonts w:ascii="Arial" w:hAnsi="Arial"/>
                <w:sz w:val="22"/>
                <w:vertAlign w:val="superscript"/>
                <w:lang w:val="zh-CN"/>
              </w:rPr>
              <w:t>a</w:t>
            </w:r>
          </w:p>
        </w:tc>
        <w:tc>
          <w:tcPr>
            <w:tcW w:w="1728" w:type="dxa"/>
            <w:tcBorders>
              <w:top w:val="nil"/>
              <w:left w:val="nil"/>
              <w:bottom w:val="nil"/>
              <w:right w:val="nil"/>
            </w:tcBorders>
          </w:tcPr>
          <w:p w14:paraId="3003CDDE" w14:textId="77777777" w:rsidR="00083C7E" w:rsidRDefault="00047EFE">
            <w:pPr>
              <w:spacing w:line="360" w:lineRule="auto"/>
              <w:jc w:val="center"/>
              <w:rPr>
                <w:rFonts w:ascii="Arial" w:hAnsi="Arial" w:cs="Arial"/>
                <w:sz w:val="22"/>
                <w:szCs w:val="22"/>
                <w:lang w:val="zh-CN"/>
              </w:rPr>
            </w:pPr>
            <w:r>
              <w:rPr>
                <w:rFonts w:ascii="Arial" w:hAnsi="Arial"/>
                <w:sz w:val="22"/>
                <w:lang w:val="zh-CN"/>
              </w:rPr>
              <w:t>0,61</w:t>
            </w:r>
            <w:r>
              <w:rPr>
                <w:rFonts w:ascii="Symbol" w:hAnsi="Symbol"/>
                <w:sz w:val="22"/>
                <w:lang w:val="zh-CN"/>
              </w:rPr>
              <w:sym w:font="Symbol" w:char="F0B1"/>
            </w:r>
            <w:r>
              <w:rPr>
                <w:rFonts w:ascii="Arial" w:hAnsi="Arial"/>
                <w:sz w:val="22"/>
                <w:lang w:val="zh-CN"/>
              </w:rPr>
              <w:t>0,001</w:t>
            </w:r>
            <w:r>
              <w:rPr>
                <w:rFonts w:ascii="Arial" w:hAnsi="Arial"/>
                <w:sz w:val="22"/>
                <w:vertAlign w:val="superscript"/>
                <w:lang w:val="zh-CN"/>
              </w:rPr>
              <w:t>a</w:t>
            </w:r>
          </w:p>
        </w:tc>
        <w:tc>
          <w:tcPr>
            <w:tcW w:w="1730" w:type="dxa"/>
            <w:tcBorders>
              <w:top w:val="nil"/>
              <w:left w:val="nil"/>
              <w:bottom w:val="nil"/>
              <w:right w:val="nil"/>
            </w:tcBorders>
          </w:tcPr>
          <w:p w14:paraId="1CFD9278" w14:textId="77777777" w:rsidR="00083C7E" w:rsidRDefault="00047EFE">
            <w:pPr>
              <w:spacing w:line="360" w:lineRule="auto"/>
              <w:rPr>
                <w:rFonts w:ascii="Arial" w:hAnsi="Arial" w:cs="Arial"/>
                <w:sz w:val="22"/>
                <w:szCs w:val="22"/>
                <w:lang w:val="zh-CN"/>
              </w:rPr>
            </w:pPr>
            <w:r>
              <w:rPr>
                <w:rFonts w:ascii="Arial" w:hAnsi="Arial"/>
                <w:sz w:val="22"/>
                <w:lang w:val="zh-CN"/>
              </w:rPr>
              <w:t>0,09</w:t>
            </w:r>
            <w:r>
              <w:rPr>
                <w:rFonts w:ascii="Symbol" w:hAnsi="Symbol"/>
                <w:sz w:val="22"/>
                <w:lang w:val="zh-CN"/>
              </w:rPr>
              <w:sym w:font="Symbol" w:char="F0B1"/>
            </w:r>
            <w:r>
              <w:rPr>
                <w:rFonts w:ascii="Arial" w:hAnsi="Arial"/>
                <w:sz w:val="22"/>
                <w:lang w:val="zh-CN"/>
              </w:rPr>
              <w:t>0,02</w:t>
            </w:r>
            <w:r>
              <w:rPr>
                <w:rFonts w:ascii="Arial" w:hAnsi="Arial"/>
                <w:sz w:val="22"/>
                <w:vertAlign w:val="superscript"/>
                <w:lang w:val="zh-CN"/>
              </w:rPr>
              <w:t>a</w:t>
            </w:r>
          </w:p>
        </w:tc>
      </w:tr>
      <w:tr w:rsidR="00083C7E" w14:paraId="1E2F3C04" w14:textId="77777777">
        <w:trPr>
          <w:trHeight w:val="386"/>
        </w:trPr>
        <w:tc>
          <w:tcPr>
            <w:tcW w:w="1775" w:type="dxa"/>
            <w:tcBorders>
              <w:top w:val="nil"/>
              <w:left w:val="nil"/>
              <w:bottom w:val="nil"/>
              <w:right w:val="nil"/>
            </w:tcBorders>
          </w:tcPr>
          <w:p w14:paraId="6C9D1057" w14:textId="77777777" w:rsidR="00083C7E" w:rsidRDefault="00047EFE">
            <w:pPr>
              <w:spacing w:line="360" w:lineRule="auto"/>
              <w:jc w:val="center"/>
              <w:rPr>
                <w:rFonts w:ascii="Arial" w:hAnsi="Arial" w:cs="Arial"/>
                <w:sz w:val="22"/>
                <w:szCs w:val="22"/>
                <w:lang w:val="zh-CN"/>
              </w:rPr>
            </w:pPr>
            <w:r>
              <w:rPr>
                <w:rFonts w:ascii="Arial" w:hAnsi="Arial"/>
                <w:sz w:val="22"/>
                <w:lang w:val="zh-CN"/>
              </w:rPr>
              <w:t>B</w:t>
            </w:r>
          </w:p>
        </w:tc>
        <w:tc>
          <w:tcPr>
            <w:tcW w:w="1727" w:type="dxa"/>
            <w:tcBorders>
              <w:top w:val="nil"/>
              <w:left w:val="nil"/>
              <w:bottom w:val="nil"/>
              <w:right w:val="nil"/>
            </w:tcBorders>
          </w:tcPr>
          <w:p w14:paraId="6088DB74" w14:textId="77777777" w:rsidR="00083C7E" w:rsidRDefault="00047EFE">
            <w:pPr>
              <w:spacing w:line="360" w:lineRule="auto"/>
              <w:jc w:val="center"/>
              <w:rPr>
                <w:rFonts w:ascii="Arial" w:hAnsi="Arial" w:cs="Arial"/>
                <w:sz w:val="22"/>
                <w:szCs w:val="22"/>
                <w:vertAlign w:val="superscript"/>
                <w:lang w:val="zh-CN"/>
              </w:rPr>
            </w:pPr>
            <w:r>
              <w:rPr>
                <w:rFonts w:ascii="Arial" w:hAnsi="Arial"/>
                <w:sz w:val="22"/>
                <w:lang w:val="zh-CN"/>
              </w:rPr>
              <w:t>96,67</w:t>
            </w:r>
            <w:r>
              <w:rPr>
                <w:rFonts w:ascii="Symbol" w:hAnsi="Symbol"/>
                <w:sz w:val="22"/>
                <w:lang w:val="zh-CN"/>
              </w:rPr>
              <w:sym w:font="Symbol" w:char="F0B1"/>
            </w:r>
            <w:r>
              <w:rPr>
                <w:rFonts w:ascii="Arial" w:hAnsi="Arial"/>
                <w:sz w:val="22"/>
                <w:lang w:val="zh-CN"/>
              </w:rPr>
              <w:t>2,36</w:t>
            </w:r>
            <w:r>
              <w:rPr>
                <w:rFonts w:ascii="Arial" w:hAnsi="Arial"/>
                <w:sz w:val="22"/>
                <w:vertAlign w:val="superscript"/>
                <w:lang w:val="zh-CN"/>
              </w:rPr>
              <w:t>a</w:t>
            </w:r>
          </w:p>
        </w:tc>
        <w:tc>
          <w:tcPr>
            <w:tcW w:w="1728" w:type="dxa"/>
            <w:tcBorders>
              <w:top w:val="nil"/>
              <w:left w:val="nil"/>
              <w:bottom w:val="nil"/>
              <w:right w:val="nil"/>
            </w:tcBorders>
          </w:tcPr>
          <w:p w14:paraId="7D57E919" w14:textId="77777777" w:rsidR="00083C7E" w:rsidRDefault="00047EFE">
            <w:pPr>
              <w:spacing w:line="360" w:lineRule="auto"/>
              <w:jc w:val="center"/>
              <w:rPr>
                <w:rFonts w:ascii="Arial" w:hAnsi="Arial" w:cs="Arial"/>
                <w:sz w:val="22"/>
                <w:szCs w:val="22"/>
                <w:lang w:val="zh-CN"/>
              </w:rPr>
            </w:pPr>
            <w:r>
              <w:rPr>
                <w:rFonts w:ascii="Arial" w:hAnsi="Arial"/>
                <w:sz w:val="22"/>
                <w:lang w:val="zh-CN"/>
              </w:rPr>
              <w:t>3,49</w:t>
            </w:r>
            <w:r>
              <w:rPr>
                <w:rFonts w:ascii="Symbol" w:hAnsi="Symbol"/>
                <w:sz w:val="22"/>
                <w:lang w:val="zh-CN"/>
              </w:rPr>
              <w:sym w:font="Symbol" w:char="F0B1"/>
            </w:r>
            <w:r>
              <w:rPr>
                <w:rFonts w:ascii="Arial" w:hAnsi="Arial"/>
                <w:sz w:val="22"/>
                <w:lang w:val="zh-CN"/>
              </w:rPr>
              <w:t>1,04</w:t>
            </w:r>
            <w:r>
              <w:rPr>
                <w:rFonts w:ascii="Arial" w:hAnsi="Arial"/>
                <w:sz w:val="22"/>
                <w:vertAlign w:val="superscript"/>
                <w:lang w:val="zh-CN"/>
              </w:rPr>
              <w:t>a</w:t>
            </w:r>
          </w:p>
        </w:tc>
        <w:tc>
          <w:tcPr>
            <w:tcW w:w="1728" w:type="dxa"/>
            <w:tcBorders>
              <w:top w:val="nil"/>
              <w:left w:val="nil"/>
              <w:bottom w:val="nil"/>
              <w:right w:val="nil"/>
            </w:tcBorders>
          </w:tcPr>
          <w:p w14:paraId="30965CDE" w14:textId="77777777" w:rsidR="00083C7E" w:rsidRDefault="00047EFE">
            <w:pPr>
              <w:spacing w:line="360" w:lineRule="auto"/>
              <w:jc w:val="center"/>
              <w:rPr>
                <w:rFonts w:ascii="Arial" w:hAnsi="Arial" w:cs="Arial"/>
                <w:sz w:val="22"/>
                <w:szCs w:val="22"/>
                <w:lang w:val="zh-CN"/>
              </w:rPr>
            </w:pPr>
            <w:r>
              <w:rPr>
                <w:rFonts w:ascii="Arial" w:hAnsi="Arial"/>
                <w:sz w:val="22"/>
                <w:lang w:val="zh-CN"/>
              </w:rPr>
              <w:t>1,14</w:t>
            </w:r>
            <w:r>
              <w:rPr>
                <w:rFonts w:ascii="Symbol" w:hAnsi="Symbol"/>
                <w:sz w:val="22"/>
                <w:lang w:val="zh-CN"/>
              </w:rPr>
              <w:sym w:font="Symbol" w:char="F0B1"/>
            </w:r>
            <w:r>
              <w:rPr>
                <w:rFonts w:ascii="Arial" w:hAnsi="Arial"/>
                <w:sz w:val="22"/>
                <w:lang w:val="zh-CN"/>
              </w:rPr>
              <w:t>0,000</w:t>
            </w:r>
            <w:r>
              <w:rPr>
                <w:rFonts w:ascii="Arial" w:hAnsi="Arial"/>
                <w:sz w:val="22"/>
                <w:vertAlign w:val="superscript"/>
                <w:lang w:val="zh-CN"/>
              </w:rPr>
              <w:t>a</w:t>
            </w:r>
          </w:p>
        </w:tc>
        <w:tc>
          <w:tcPr>
            <w:tcW w:w="1730" w:type="dxa"/>
            <w:tcBorders>
              <w:top w:val="nil"/>
              <w:left w:val="nil"/>
              <w:bottom w:val="nil"/>
              <w:right w:val="nil"/>
            </w:tcBorders>
          </w:tcPr>
          <w:p w14:paraId="137582FF" w14:textId="77777777" w:rsidR="00083C7E" w:rsidRDefault="00047EFE">
            <w:pPr>
              <w:spacing w:line="360" w:lineRule="auto"/>
              <w:rPr>
                <w:rFonts w:ascii="Arial" w:hAnsi="Arial" w:cs="Arial"/>
                <w:sz w:val="22"/>
                <w:szCs w:val="22"/>
                <w:lang w:val="zh-CN"/>
              </w:rPr>
            </w:pPr>
            <w:r>
              <w:rPr>
                <w:rFonts w:ascii="Arial" w:hAnsi="Arial"/>
                <w:sz w:val="22"/>
                <w:lang w:val="zh-CN"/>
              </w:rPr>
              <w:t>1,05</w:t>
            </w:r>
            <w:r>
              <w:rPr>
                <w:rFonts w:ascii="Symbol" w:hAnsi="Symbol"/>
                <w:sz w:val="22"/>
                <w:lang w:val="zh-CN"/>
              </w:rPr>
              <w:sym w:font="Symbol" w:char="F0B1"/>
            </w:r>
            <w:r>
              <w:rPr>
                <w:rFonts w:ascii="Arial" w:hAnsi="Arial"/>
                <w:sz w:val="22"/>
                <w:lang w:val="zh-CN"/>
              </w:rPr>
              <w:t>0,13</w:t>
            </w:r>
            <w:r>
              <w:rPr>
                <w:rFonts w:ascii="Arial" w:hAnsi="Arial"/>
                <w:sz w:val="22"/>
                <w:vertAlign w:val="superscript"/>
                <w:lang w:val="zh-CN"/>
              </w:rPr>
              <w:t>a</w:t>
            </w:r>
          </w:p>
        </w:tc>
      </w:tr>
      <w:tr w:rsidR="00083C7E" w14:paraId="29B75018" w14:textId="77777777">
        <w:trPr>
          <w:trHeight w:val="369"/>
        </w:trPr>
        <w:tc>
          <w:tcPr>
            <w:tcW w:w="1775" w:type="dxa"/>
            <w:tcBorders>
              <w:top w:val="nil"/>
              <w:left w:val="nil"/>
              <w:bottom w:val="nil"/>
              <w:right w:val="nil"/>
            </w:tcBorders>
          </w:tcPr>
          <w:p w14:paraId="151E34F4" w14:textId="77777777" w:rsidR="00083C7E" w:rsidRDefault="00047EFE">
            <w:pPr>
              <w:spacing w:line="360" w:lineRule="auto"/>
              <w:jc w:val="center"/>
              <w:rPr>
                <w:rFonts w:ascii="Arial" w:hAnsi="Arial" w:cs="Arial"/>
                <w:sz w:val="22"/>
                <w:szCs w:val="22"/>
                <w:lang w:val="zh-CN"/>
              </w:rPr>
            </w:pPr>
            <w:r>
              <w:rPr>
                <w:rFonts w:ascii="Arial" w:hAnsi="Arial"/>
                <w:sz w:val="22"/>
                <w:lang w:val="zh-CN"/>
              </w:rPr>
              <w:t>C</w:t>
            </w:r>
          </w:p>
        </w:tc>
        <w:tc>
          <w:tcPr>
            <w:tcW w:w="1727" w:type="dxa"/>
            <w:tcBorders>
              <w:top w:val="nil"/>
              <w:left w:val="nil"/>
              <w:bottom w:val="nil"/>
              <w:right w:val="nil"/>
            </w:tcBorders>
          </w:tcPr>
          <w:p w14:paraId="42E243C4" w14:textId="77777777" w:rsidR="00083C7E" w:rsidRDefault="00047EFE">
            <w:pPr>
              <w:spacing w:line="360" w:lineRule="auto"/>
              <w:jc w:val="center"/>
              <w:rPr>
                <w:rFonts w:ascii="Arial" w:hAnsi="Arial" w:cs="Arial"/>
                <w:sz w:val="22"/>
                <w:szCs w:val="22"/>
                <w:vertAlign w:val="superscript"/>
                <w:lang w:val="zh-CN"/>
              </w:rPr>
            </w:pPr>
            <w:r>
              <w:rPr>
                <w:rFonts w:ascii="Arial" w:hAnsi="Arial"/>
                <w:sz w:val="22"/>
                <w:lang w:val="zh-CN"/>
              </w:rPr>
              <w:t>95,00</w:t>
            </w:r>
            <w:r>
              <w:rPr>
                <w:rFonts w:ascii="Symbol" w:hAnsi="Symbol"/>
                <w:sz w:val="22"/>
                <w:lang w:val="zh-CN"/>
              </w:rPr>
              <w:sym w:font="Symbol" w:char="F0B1"/>
            </w:r>
            <w:r>
              <w:rPr>
                <w:rFonts w:ascii="Arial" w:hAnsi="Arial"/>
                <w:sz w:val="22"/>
                <w:lang w:val="zh-CN"/>
              </w:rPr>
              <w:t>4,08</w:t>
            </w:r>
            <w:r>
              <w:rPr>
                <w:rFonts w:ascii="Arial" w:hAnsi="Arial"/>
                <w:sz w:val="22"/>
                <w:vertAlign w:val="superscript"/>
                <w:lang w:val="zh-CN"/>
              </w:rPr>
              <w:t>a</w:t>
            </w:r>
          </w:p>
        </w:tc>
        <w:tc>
          <w:tcPr>
            <w:tcW w:w="1728" w:type="dxa"/>
            <w:tcBorders>
              <w:top w:val="nil"/>
              <w:left w:val="nil"/>
              <w:bottom w:val="nil"/>
              <w:right w:val="nil"/>
            </w:tcBorders>
          </w:tcPr>
          <w:p w14:paraId="7D4E88D8" w14:textId="77777777" w:rsidR="00083C7E" w:rsidRDefault="00047EFE">
            <w:pPr>
              <w:spacing w:line="360" w:lineRule="auto"/>
              <w:jc w:val="center"/>
              <w:rPr>
                <w:rFonts w:ascii="Arial" w:hAnsi="Arial" w:cs="Arial"/>
                <w:sz w:val="22"/>
                <w:szCs w:val="22"/>
                <w:lang w:val="zh-CN"/>
              </w:rPr>
            </w:pPr>
            <w:r>
              <w:rPr>
                <w:rFonts w:ascii="Arial" w:hAnsi="Arial"/>
                <w:sz w:val="22"/>
                <w:lang w:val="zh-CN"/>
              </w:rPr>
              <w:t>2,80</w:t>
            </w:r>
            <w:r>
              <w:rPr>
                <w:rFonts w:ascii="Symbol" w:hAnsi="Symbol"/>
                <w:sz w:val="22"/>
                <w:lang w:val="zh-CN"/>
              </w:rPr>
              <w:sym w:font="Symbol" w:char="F0B1"/>
            </w:r>
            <w:r>
              <w:rPr>
                <w:rFonts w:ascii="Arial" w:hAnsi="Arial"/>
                <w:sz w:val="22"/>
                <w:lang w:val="zh-CN"/>
              </w:rPr>
              <w:t>2,06</w:t>
            </w:r>
            <w:r>
              <w:rPr>
                <w:rFonts w:ascii="Arial" w:hAnsi="Arial"/>
                <w:sz w:val="22"/>
                <w:vertAlign w:val="superscript"/>
                <w:lang w:val="zh-CN"/>
              </w:rPr>
              <w:t>a</w:t>
            </w:r>
          </w:p>
        </w:tc>
        <w:tc>
          <w:tcPr>
            <w:tcW w:w="1728" w:type="dxa"/>
            <w:tcBorders>
              <w:top w:val="nil"/>
              <w:left w:val="nil"/>
              <w:bottom w:val="nil"/>
              <w:right w:val="nil"/>
            </w:tcBorders>
          </w:tcPr>
          <w:p w14:paraId="48E4D415" w14:textId="77777777" w:rsidR="00083C7E" w:rsidRDefault="00047EFE">
            <w:pPr>
              <w:spacing w:line="360" w:lineRule="auto"/>
              <w:jc w:val="center"/>
              <w:rPr>
                <w:rFonts w:ascii="Arial" w:hAnsi="Arial" w:cs="Arial"/>
                <w:sz w:val="22"/>
                <w:szCs w:val="22"/>
                <w:lang w:val="zh-CN"/>
              </w:rPr>
            </w:pPr>
            <w:r>
              <w:rPr>
                <w:rFonts w:ascii="Arial" w:hAnsi="Arial"/>
                <w:sz w:val="22"/>
                <w:lang w:val="zh-CN"/>
              </w:rPr>
              <w:t>1,00</w:t>
            </w:r>
            <w:r>
              <w:rPr>
                <w:rFonts w:ascii="Symbol" w:hAnsi="Symbol"/>
                <w:sz w:val="22"/>
                <w:lang w:val="zh-CN"/>
              </w:rPr>
              <w:sym w:font="Symbol" w:char="F0B1"/>
            </w:r>
            <w:r>
              <w:rPr>
                <w:rFonts w:ascii="Arial" w:hAnsi="Arial"/>
                <w:sz w:val="22"/>
                <w:lang w:val="zh-CN"/>
              </w:rPr>
              <w:t>0,001</w:t>
            </w:r>
            <w:r>
              <w:rPr>
                <w:rFonts w:ascii="Arial" w:hAnsi="Arial"/>
                <w:sz w:val="22"/>
                <w:vertAlign w:val="superscript"/>
                <w:lang w:val="zh-CN"/>
              </w:rPr>
              <w:t>a</w:t>
            </w:r>
          </w:p>
        </w:tc>
        <w:tc>
          <w:tcPr>
            <w:tcW w:w="1730" w:type="dxa"/>
            <w:tcBorders>
              <w:top w:val="nil"/>
              <w:left w:val="nil"/>
              <w:bottom w:val="nil"/>
              <w:right w:val="nil"/>
            </w:tcBorders>
          </w:tcPr>
          <w:p w14:paraId="0DA90F29" w14:textId="77777777" w:rsidR="00083C7E" w:rsidRDefault="00047EFE">
            <w:pPr>
              <w:spacing w:line="360" w:lineRule="auto"/>
              <w:rPr>
                <w:rFonts w:ascii="Arial" w:hAnsi="Arial" w:cs="Arial"/>
                <w:sz w:val="22"/>
                <w:szCs w:val="22"/>
                <w:lang w:val="zh-CN"/>
              </w:rPr>
            </w:pPr>
            <w:r>
              <w:rPr>
                <w:rFonts w:ascii="Arial" w:hAnsi="Arial"/>
                <w:sz w:val="22"/>
                <w:lang w:val="zh-CN"/>
              </w:rPr>
              <w:t>1,17</w:t>
            </w:r>
            <w:r>
              <w:rPr>
                <w:rFonts w:ascii="Symbol" w:hAnsi="Symbol"/>
                <w:sz w:val="22"/>
                <w:lang w:val="zh-CN"/>
              </w:rPr>
              <w:sym w:font="Symbol" w:char="F0B1"/>
            </w:r>
            <w:r>
              <w:rPr>
                <w:rFonts w:ascii="Arial" w:hAnsi="Arial"/>
                <w:sz w:val="22"/>
                <w:lang w:val="zh-CN"/>
              </w:rPr>
              <w:t>1,29</w:t>
            </w:r>
            <w:r>
              <w:rPr>
                <w:rFonts w:ascii="Arial" w:hAnsi="Arial"/>
                <w:sz w:val="22"/>
                <w:vertAlign w:val="superscript"/>
                <w:lang w:val="zh-CN"/>
              </w:rPr>
              <w:t>a</w:t>
            </w:r>
          </w:p>
        </w:tc>
      </w:tr>
      <w:tr w:rsidR="00083C7E" w14:paraId="526CDE41" w14:textId="77777777">
        <w:trPr>
          <w:trHeight w:val="369"/>
        </w:trPr>
        <w:tc>
          <w:tcPr>
            <w:tcW w:w="1775" w:type="dxa"/>
            <w:tcBorders>
              <w:top w:val="nil"/>
              <w:left w:val="nil"/>
              <w:bottom w:val="single" w:sz="4" w:space="0" w:color="auto"/>
              <w:right w:val="nil"/>
            </w:tcBorders>
          </w:tcPr>
          <w:p w14:paraId="78886508" w14:textId="77777777" w:rsidR="00083C7E" w:rsidRDefault="00047EFE">
            <w:pPr>
              <w:spacing w:line="360" w:lineRule="auto"/>
              <w:jc w:val="center"/>
              <w:rPr>
                <w:rFonts w:ascii="Arial" w:hAnsi="Arial"/>
                <w:sz w:val="22"/>
                <w:lang w:val="zh-CN"/>
              </w:rPr>
            </w:pPr>
            <w:r>
              <w:rPr>
                <w:rFonts w:ascii="Arial" w:hAnsi="Arial"/>
                <w:sz w:val="22"/>
              </w:rPr>
              <w:t>D</w:t>
            </w:r>
          </w:p>
        </w:tc>
        <w:tc>
          <w:tcPr>
            <w:tcW w:w="1727" w:type="dxa"/>
            <w:tcBorders>
              <w:top w:val="nil"/>
              <w:left w:val="nil"/>
              <w:bottom w:val="single" w:sz="4" w:space="0" w:color="auto"/>
              <w:right w:val="nil"/>
            </w:tcBorders>
          </w:tcPr>
          <w:p w14:paraId="2398EC94" w14:textId="77777777" w:rsidR="00083C7E" w:rsidRDefault="00047EFE">
            <w:pPr>
              <w:spacing w:line="360" w:lineRule="auto"/>
              <w:jc w:val="center"/>
              <w:rPr>
                <w:rFonts w:ascii="Arial" w:hAnsi="Arial"/>
                <w:sz w:val="22"/>
                <w:vertAlign w:val="superscript"/>
                <w:lang w:val="zh-CN"/>
              </w:rPr>
            </w:pPr>
            <w:r>
              <w:rPr>
                <w:rFonts w:ascii="Arial" w:hAnsi="Arial"/>
                <w:sz w:val="22"/>
              </w:rPr>
              <w:t>96,67</w:t>
            </w:r>
            <w:r>
              <w:rPr>
                <w:rFonts w:ascii="Symbol" w:hAnsi="Symbol"/>
                <w:sz w:val="22"/>
              </w:rPr>
              <w:sym w:font="Symbol" w:char="F0B1"/>
            </w:r>
            <w:r>
              <w:rPr>
                <w:rFonts w:ascii="Arial" w:hAnsi="Arial"/>
                <w:sz w:val="22"/>
              </w:rPr>
              <w:t>2,36</w:t>
            </w:r>
            <w:r>
              <w:rPr>
                <w:rFonts w:ascii="Arial" w:hAnsi="Arial"/>
                <w:sz w:val="22"/>
                <w:vertAlign w:val="superscript"/>
              </w:rPr>
              <w:t>a</w:t>
            </w:r>
          </w:p>
        </w:tc>
        <w:tc>
          <w:tcPr>
            <w:tcW w:w="1728" w:type="dxa"/>
            <w:tcBorders>
              <w:top w:val="nil"/>
              <w:left w:val="nil"/>
              <w:bottom w:val="single" w:sz="4" w:space="0" w:color="auto"/>
              <w:right w:val="nil"/>
            </w:tcBorders>
          </w:tcPr>
          <w:p w14:paraId="3CB8A93B" w14:textId="77777777" w:rsidR="00083C7E" w:rsidRDefault="00047EFE">
            <w:pPr>
              <w:spacing w:line="360" w:lineRule="auto"/>
              <w:jc w:val="center"/>
              <w:rPr>
                <w:rFonts w:ascii="Arial" w:hAnsi="Arial"/>
                <w:sz w:val="22"/>
                <w:lang w:val="zh-CN"/>
              </w:rPr>
            </w:pPr>
            <w:r>
              <w:rPr>
                <w:rFonts w:ascii="Arial" w:hAnsi="Arial"/>
                <w:sz w:val="22"/>
              </w:rPr>
              <w:t>2,93</w:t>
            </w:r>
            <w:r>
              <w:rPr>
                <w:rFonts w:ascii="Symbol" w:hAnsi="Symbol"/>
                <w:sz w:val="22"/>
              </w:rPr>
              <w:sym w:font="Symbol" w:char="F0B1"/>
            </w:r>
            <w:r>
              <w:rPr>
                <w:rFonts w:ascii="Arial" w:hAnsi="Arial"/>
                <w:sz w:val="22"/>
              </w:rPr>
              <w:t>1,31</w:t>
            </w:r>
            <w:r>
              <w:rPr>
                <w:rFonts w:ascii="Arial" w:hAnsi="Arial"/>
                <w:sz w:val="22"/>
                <w:vertAlign w:val="superscript"/>
              </w:rPr>
              <w:t>a</w:t>
            </w:r>
          </w:p>
        </w:tc>
        <w:tc>
          <w:tcPr>
            <w:tcW w:w="1728" w:type="dxa"/>
            <w:tcBorders>
              <w:top w:val="nil"/>
              <w:left w:val="nil"/>
              <w:bottom w:val="single" w:sz="4" w:space="0" w:color="auto"/>
              <w:right w:val="nil"/>
            </w:tcBorders>
          </w:tcPr>
          <w:p w14:paraId="13411082" w14:textId="77777777" w:rsidR="00083C7E" w:rsidRDefault="00047EFE">
            <w:pPr>
              <w:spacing w:line="360" w:lineRule="auto"/>
              <w:jc w:val="center"/>
              <w:rPr>
                <w:rFonts w:ascii="Arial" w:hAnsi="Arial"/>
                <w:sz w:val="22"/>
                <w:lang w:val="zh-CN"/>
              </w:rPr>
            </w:pPr>
            <w:r>
              <w:rPr>
                <w:rFonts w:ascii="Arial" w:hAnsi="Arial"/>
                <w:sz w:val="22"/>
              </w:rPr>
              <w:t>1,01</w:t>
            </w:r>
            <w:r>
              <w:rPr>
                <w:rFonts w:ascii="Symbol" w:hAnsi="Symbol"/>
                <w:sz w:val="22"/>
              </w:rPr>
              <w:sym w:font="Symbol" w:char="F0B1"/>
            </w:r>
            <w:r>
              <w:rPr>
                <w:rFonts w:ascii="Arial" w:hAnsi="Arial"/>
                <w:sz w:val="22"/>
              </w:rPr>
              <w:t>0,002</w:t>
            </w:r>
            <w:r>
              <w:rPr>
                <w:rFonts w:ascii="Arial" w:hAnsi="Arial"/>
                <w:sz w:val="22"/>
                <w:vertAlign w:val="superscript"/>
              </w:rPr>
              <w:t>a</w:t>
            </w:r>
          </w:p>
        </w:tc>
        <w:tc>
          <w:tcPr>
            <w:tcW w:w="1730" w:type="dxa"/>
            <w:tcBorders>
              <w:top w:val="nil"/>
              <w:left w:val="nil"/>
              <w:bottom w:val="single" w:sz="4" w:space="0" w:color="auto"/>
              <w:right w:val="nil"/>
            </w:tcBorders>
          </w:tcPr>
          <w:p w14:paraId="4222F70F" w14:textId="77777777" w:rsidR="00083C7E" w:rsidRDefault="00047EFE">
            <w:pPr>
              <w:spacing w:line="360" w:lineRule="auto"/>
              <w:rPr>
                <w:rFonts w:ascii="Arial" w:hAnsi="Arial"/>
                <w:sz w:val="22"/>
                <w:lang w:val="zh-CN"/>
              </w:rPr>
            </w:pPr>
            <w:r>
              <w:rPr>
                <w:rFonts w:ascii="Arial" w:hAnsi="Arial"/>
                <w:sz w:val="22"/>
              </w:rPr>
              <w:t>1,10</w:t>
            </w:r>
            <w:r>
              <w:rPr>
                <w:rFonts w:ascii="Symbol" w:hAnsi="Symbol"/>
                <w:sz w:val="22"/>
              </w:rPr>
              <w:sym w:font="Symbol" w:char="F0B1"/>
            </w:r>
            <w:r>
              <w:rPr>
                <w:rFonts w:ascii="Arial" w:hAnsi="Arial"/>
                <w:sz w:val="22"/>
              </w:rPr>
              <w:t>0,42</w:t>
            </w:r>
            <w:r>
              <w:rPr>
                <w:rFonts w:ascii="Arial" w:hAnsi="Arial"/>
                <w:sz w:val="22"/>
                <w:vertAlign w:val="superscript"/>
              </w:rPr>
              <w:t>a</w:t>
            </w:r>
          </w:p>
        </w:tc>
      </w:tr>
    </w:tbl>
    <w:p w14:paraId="35973B5B" w14:textId="77777777" w:rsidR="00083C7E" w:rsidRDefault="00047EFE">
      <w:pPr>
        <w:rPr>
          <w:rFonts w:ascii="Arial" w:hAnsi="Arial" w:cs="Arial"/>
          <w:color w:val="222222"/>
          <w:sz w:val="22"/>
          <w:szCs w:val="22"/>
        </w:rPr>
      </w:pPr>
      <w:r>
        <w:rPr>
          <w:rFonts w:ascii="Arial" w:hAnsi="Arial"/>
          <w:color w:val="222222"/>
          <w:sz w:val="22"/>
          <w:szCs w:val="22"/>
        </w:rPr>
        <w:t xml:space="preserve">Note: Different superscript letters and the same parameters in tilapia showed significantly different </w:t>
      </w:r>
      <w:r>
        <w:rPr>
          <w:rFonts w:ascii="Arial" w:hAnsi="Arial"/>
          <w:color w:val="222222"/>
          <w:sz w:val="22"/>
          <w:szCs w:val="22"/>
        </w:rPr>
        <w:t>treatment effects (Tukey's test; P&lt;0.05)</w:t>
      </w:r>
    </w:p>
    <w:p w14:paraId="05CCE070" w14:textId="77777777" w:rsidR="00083C7E" w:rsidRDefault="00083C7E">
      <w:pPr>
        <w:jc w:val="both"/>
        <w:rPr>
          <w:rFonts w:ascii="Arial" w:hAnsi="Arial" w:cs="Arial"/>
          <w:color w:val="000000"/>
          <w:sz w:val="22"/>
          <w:szCs w:val="22"/>
        </w:rPr>
      </w:pPr>
    </w:p>
    <w:p w14:paraId="1FCADC04" w14:textId="77777777" w:rsidR="00083C7E" w:rsidRDefault="00047EFE">
      <w:pPr>
        <w:jc w:val="both"/>
        <w:rPr>
          <w:rFonts w:ascii="Arial" w:hAnsi="Arial" w:cs="Arial"/>
          <w:sz w:val="22"/>
          <w:szCs w:val="22"/>
        </w:rPr>
      </w:pPr>
      <w:r>
        <w:rPr>
          <w:rFonts w:ascii="Arial" w:hAnsi="Arial"/>
          <w:color w:val="000000"/>
          <w:sz w:val="22"/>
          <w:szCs w:val="22"/>
        </w:rPr>
        <w:t>The treatment had no effect on the Hepatosomatic Index (HSI) (0.570 -1.385 %). More so, the Digestive Somatic Index (DSI), which ranged between 2.360 to 6.231%, showed a significant difference in treatment A compar</w:t>
      </w:r>
      <w:r>
        <w:rPr>
          <w:rFonts w:ascii="Arial" w:hAnsi="Arial"/>
          <w:color w:val="000000"/>
          <w:sz w:val="22"/>
          <w:szCs w:val="22"/>
        </w:rPr>
        <w:t>ed to treatments C and D. However, there was no significant difference in treatment B regarding the condition factor (K), which ranged between 1,020 – 1.167 g/cm</w:t>
      </w:r>
      <w:r>
        <w:rPr>
          <w:rFonts w:ascii="Arial" w:hAnsi="Arial"/>
          <w:color w:val="000000"/>
          <w:sz w:val="22"/>
        </w:rPr>
        <w:t>3</w:t>
      </w:r>
      <w:r>
        <w:rPr>
          <w:rFonts w:ascii="Arial" w:hAnsi="Arial"/>
          <w:color w:val="000000"/>
          <w:sz w:val="22"/>
          <w:szCs w:val="22"/>
        </w:rPr>
        <w:t>. Table 2 shows the HSI, DSi, and K levels in saline tilapia during the research treatment.</w:t>
      </w:r>
    </w:p>
    <w:p w14:paraId="44674930" w14:textId="77777777" w:rsidR="00083C7E" w:rsidRDefault="00083C7E">
      <w:pPr>
        <w:jc w:val="both"/>
        <w:rPr>
          <w:rFonts w:ascii="Arial" w:hAnsi="Arial" w:cs="Arial"/>
          <w:sz w:val="22"/>
          <w:szCs w:val="22"/>
        </w:rPr>
      </w:pPr>
    </w:p>
    <w:p w14:paraId="496F9812" w14:textId="77777777" w:rsidR="00083C7E" w:rsidRDefault="00047EFE" w:rsidP="0060416A">
      <w:pPr>
        <w:ind w:left="1134" w:hanging="1134"/>
        <w:jc w:val="both"/>
        <w:outlineLvl w:val="0"/>
        <w:rPr>
          <w:rFonts w:ascii="Arial" w:hAnsi="Arial" w:cs="Arial"/>
          <w:sz w:val="22"/>
        </w:rPr>
      </w:pPr>
      <w:r>
        <w:rPr>
          <w:rFonts w:ascii="Arial" w:hAnsi="Arial"/>
          <w:sz w:val="22"/>
        </w:rPr>
        <w:t>T</w:t>
      </w:r>
      <w:r>
        <w:rPr>
          <w:rFonts w:ascii="Arial" w:hAnsi="Arial"/>
          <w:sz w:val="22"/>
        </w:rPr>
        <w:t>able 2. HSI, DSi and K in saline tilapia during the study</w:t>
      </w:r>
    </w:p>
    <w:tbl>
      <w:tblPr>
        <w:tblStyle w:val="TableGrid"/>
        <w:tblW w:w="9071" w:type="dxa"/>
        <w:tblLook w:val="04A0" w:firstRow="1" w:lastRow="0" w:firstColumn="1" w:lastColumn="0" w:noHBand="0" w:noVBand="1"/>
      </w:tblPr>
      <w:tblGrid>
        <w:gridCol w:w="2313"/>
        <w:gridCol w:w="2252"/>
        <w:gridCol w:w="2253"/>
        <w:gridCol w:w="2253"/>
      </w:tblGrid>
      <w:tr w:rsidR="00083C7E" w14:paraId="4865D901" w14:textId="77777777">
        <w:trPr>
          <w:trHeight w:val="642"/>
        </w:trPr>
        <w:tc>
          <w:tcPr>
            <w:tcW w:w="2313" w:type="dxa"/>
            <w:tcBorders>
              <w:left w:val="nil"/>
              <w:bottom w:val="single" w:sz="4" w:space="0" w:color="auto"/>
              <w:right w:val="nil"/>
            </w:tcBorders>
            <w:vAlign w:val="center"/>
          </w:tcPr>
          <w:p w14:paraId="5929B804" w14:textId="77777777" w:rsidR="00083C7E" w:rsidRDefault="00047EFE">
            <w:pPr>
              <w:jc w:val="center"/>
              <w:rPr>
                <w:rFonts w:ascii="Arial" w:hAnsi="Arial" w:cs="Arial"/>
                <w:sz w:val="22"/>
                <w:szCs w:val="22"/>
                <w:lang w:val="zh-CN"/>
              </w:rPr>
            </w:pPr>
            <w:r>
              <w:rPr>
                <w:rFonts w:ascii="Arial" w:hAnsi="Arial"/>
                <w:sz w:val="22"/>
                <w:lang w:val="zh-CN"/>
              </w:rPr>
              <w:t>Treatment</w:t>
            </w:r>
          </w:p>
        </w:tc>
        <w:tc>
          <w:tcPr>
            <w:tcW w:w="2252" w:type="dxa"/>
            <w:tcBorders>
              <w:left w:val="nil"/>
              <w:bottom w:val="single" w:sz="4" w:space="0" w:color="auto"/>
              <w:right w:val="nil"/>
            </w:tcBorders>
            <w:vAlign w:val="center"/>
          </w:tcPr>
          <w:p w14:paraId="30854440" w14:textId="77777777" w:rsidR="00083C7E" w:rsidRDefault="00047EFE">
            <w:pPr>
              <w:jc w:val="center"/>
              <w:rPr>
                <w:rFonts w:ascii="Arial" w:hAnsi="Arial" w:cs="Arial"/>
                <w:sz w:val="22"/>
                <w:szCs w:val="22"/>
                <w:lang w:val="zh-CN"/>
              </w:rPr>
            </w:pPr>
            <w:r>
              <w:rPr>
                <w:rFonts w:ascii="Arial" w:hAnsi="Arial"/>
                <w:sz w:val="22"/>
                <w:lang w:val="zh-CN"/>
              </w:rPr>
              <w:t>HSI (%)</w:t>
            </w:r>
          </w:p>
        </w:tc>
        <w:tc>
          <w:tcPr>
            <w:tcW w:w="2253" w:type="dxa"/>
            <w:tcBorders>
              <w:left w:val="nil"/>
              <w:bottom w:val="single" w:sz="4" w:space="0" w:color="auto"/>
              <w:right w:val="nil"/>
            </w:tcBorders>
            <w:vAlign w:val="center"/>
          </w:tcPr>
          <w:p w14:paraId="03981A14" w14:textId="77777777" w:rsidR="00083C7E" w:rsidRDefault="00047EFE">
            <w:pPr>
              <w:jc w:val="center"/>
              <w:rPr>
                <w:rFonts w:ascii="Arial" w:hAnsi="Arial" w:cs="Arial"/>
                <w:sz w:val="22"/>
                <w:szCs w:val="22"/>
                <w:lang w:val="zh-CN"/>
              </w:rPr>
            </w:pPr>
            <w:r>
              <w:rPr>
                <w:rFonts w:ascii="Arial" w:hAnsi="Arial"/>
                <w:sz w:val="22"/>
                <w:lang w:val="zh-CN"/>
              </w:rPr>
              <w:t>DSI(%)</w:t>
            </w:r>
          </w:p>
        </w:tc>
        <w:tc>
          <w:tcPr>
            <w:tcW w:w="2253" w:type="dxa"/>
            <w:tcBorders>
              <w:left w:val="nil"/>
              <w:bottom w:val="single" w:sz="4" w:space="0" w:color="auto"/>
              <w:right w:val="nil"/>
            </w:tcBorders>
            <w:vAlign w:val="center"/>
          </w:tcPr>
          <w:p w14:paraId="7D2D2809" w14:textId="77777777" w:rsidR="00083C7E" w:rsidRDefault="00047EFE">
            <w:pPr>
              <w:jc w:val="center"/>
              <w:rPr>
                <w:rFonts w:ascii="Arial" w:hAnsi="Arial" w:cs="Arial"/>
                <w:sz w:val="22"/>
                <w:szCs w:val="22"/>
                <w:lang w:val="zh-CN"/>
              </w:rPr>
            </w:pPr>
            <w:r>
              <w:rPr>
                <w:rFonts w:ascii="Arial" w:hAnsi="Arial"/>
                <w:sz w:val="22"/>
                <w:lang w:val="zh-CN"/>
              </w:rPr>
              <w:t>K(g/cm</w:t>
            </w:r>
            <w:r>
              <w:rPr>
                <w:rFonts w:ascii="Arial" w:hAnsi="Arial"/>
                <w:sz w:val="22"/>
                <w:vertAlign w:val="superscript"/>
                <w:lang w:val="zh-CN"/>
              </w:rPr>
              <w:t>3</w:t>
            </w:r>
            <w:r>
              <w:rPr>
                <w:rFonts w:ascii="Arial" w:hAnsi="Arial"/>
                <w:sz w:val="22"/>
                <w:lang w:val="zh-CN"/>
              </w:rPr>
              <w:t>)</w:t>
            </w:r>
          </w:p>
        </w:tc>
      </w:tr>
      <w:tr w:rsidR="00083C7E" w14:paraId="469EB456" w14:textId="77777777">
        <w:trPr>
          <w:trHeight w:val="409"/>
        </w:trPr>
        <w:tc>
          <w:tcPr>
            <w:tcW w:w="2313" w:type="dxa"/>
            <w:tcBorders>
              <w:top w:val="nil"/>
              <w:left w:val="nil"/>
              <w:bottom w:val="nil"/>
              <w:right w:val="nil"/>
            </w:tcBorders>
          </w:tcPr>
          <w:p w14:paraId="0642DF65" w14:textId="77777777" w:rsidR="00083C7E" w:rsidRDefault="00047EFE">
            <w:pPr>
              <w:spacing w:line="360" w:lineRule="auto"/>
              <w:jc w:val="center"/>
              <w:rPr>
                <w:rFonts w:ascii="Arial" w:hAnsi="Arial" w:cs="Arial"/>
                <w:sz w:val="22"/>
                <w:szCs w:val="22"/>
                <w:lang w:val="zh-CN"/>
              </w:rPr>
            </w:pPr>
            <w:r>
              <w:rPr>
                <w:rFonts w:ascii="Arial" w:hAnsi="Arial"/>
                <w:sz w:val="22"/>
                <w:lang w:val="zh-CN"/>
              </w:rPr>
              <w:t>A</w:t>
            </w:r>
          </w:p>
        </w:tc>
        <w:tc>
          <w:tcPr>
            <w:tcW w:w="2252" w:type="dxa"/>
            <w:tcBorders>
              <w:top w:val="nil"/>
              <w:left w:val="nil"/>
              <w:bottom w:val="nil"/>
              <w:right w:val="nil"/>
            </w:tcBorders>
          </w:tcPr>
          <w:p w14:paraId="4E80EBF9" w14:textId="77777777" w:rsidR="00083C7E" w:rsidRDefault="00047EFE">
            <w:pPr>
              <w:spacing w:line="360" w:lineRule="auto"/>
              <w:jc w:val="center"/>
              <w:rPr>
                <w:rFonts w:ascii="Arial" w:hAnsi="Arial" w:cs="Arial"/>
                <w:sz w:val="22"/>
                <w:szCs w:val="22"/>
                <w:lang w:val="zh-CN"/>
              </w:rPr>
            </w:pPr>
            <w:r>
              <w:rPr>
                <w:rFonts w:ascii="Arial" w:hAnsi="Arial"/>
                <w:sz w:val="22"/>
                <w:lang w:val="zh-CN"/>
              </w:rPr>
              <w:t>0,570</w:t>
            </w:r>
            <w:r>
              <w:rPr>
                <w:rFonts w:ascii="Symbol" w:hAnsi="Symbol"/>
                <w:sz w:val="22"/>
                <w:lang w:val="zh-CN"/>
              </w:rPr>
              <w:sym w:font="Symbol" w:char="F0B1"/>
            </w:r>
            <w:r>
              <w:rPr>
                <w:rFonts w:ascii="Arial" w:hAnsi="Arial"/>
                <w:sz w:val="22"/>
                <w:lang w:val="zh-CN"/>
              </w:rPr>
              <w:t>0,45</w:t>
            </w:r>
            <w:r>
              <w:rPr>
                <w:rFonts w:ascii="Arial" w:hAnsi="Arial"/>
                <w:sz w:val="22"/>
                <w:vertAlign w:val="superscript"/>
                <w:lang w:val="zh-CN"/>
              </w:rPr>
              <w:t>a</w:t>
            </w:r>
          </w:p>
        </w:tc>
        <w:tc>
          <w:tcPr>
            <w:tcW w:w="2253" w:type="dxa"/>
            <w:tcBorders>
              <w:top w:val="nil"/>
              <w:left w:val="nil"/>
              <w:bottom w:val="nil"/>
              <w:right w:val="nil"/>
            </w:tcBorders>
          </w:tcPr>
          <w:p w14:paraId="42E997D5" w14:textId="77777777" w:rsidR="00083C7E" w:rsidRDefault="00047EFE">
            <w:pPr>
              <w:spacing w:line="360" w:lineRule="auto"/>
              <w:jc w:val="center"/>
              <w:rPr>
                <w:rFonts w:ascii="Arial" w:hAnsi="Arial" w:cs="Arial"/>
                <w:sz w:val="22"/>
                <w:szCs w:val="22"/>
                <w:lang w:val="zh-CN"/>
              </w:rPr>
            </w:pPr>
            <w:r>
              <w:rPr>
                <w:rFonts w:ascii="Arial" w:hAnsi="Arial"/>
                <w:sz w:val="22"/>
                <w:lang w:val="zh-CN"/>
              </w:rPr>
              <w:t>2,360</w:t>
            </w:r>
            <w:r>
              <w:rPr>
                <w:rFonts w:ascii="Symbol" w:hAnsi="Symbol"/>
                <w:sz w:val="22"/>
                <w:lang w:val="zh-CN"/>
              </w:rPr>
              <w:sym w:font="Symbol" w:char="F0B1"/>
            </w:r>
            <w:r>
              <w:rPr>
                <w:rFonts w:ascii="Arial" w:hAnsi="Arial"/>
                <w:sz w:val="22"/>
                <w:lang w:val="zh-CN"/>
              </w:rPr>
              <w:t>0,28</w:t>
            </w:r>
            <w:r>
              <w:rPr>
                <w:rFonts w:ascii="Arial" w:hAnsi="Arial"/>
                <w:sz w:val="22"/>
                <w:vertAlign w:val="superscript"/>
                <w:lang w:val="zh-CN"/>
              </w:rPr>
              <w:t>a</w:t>
            </w:r>
          </w:p>
        </w:tc>
        <w:tc>
          <w:tcPr>
            <w:tcW w:w="2253" w:type="dxa"/>
            <w:tcBorders>
              <w:top w:val="nil"/>
              <w:left w:val="nil"/>
              <w:bottom w:val="nil"/>
              <w:right w:val="nil"/>
            </w:tcBorders>
          </w:tcPr>
          <w:p w14:paraId="1672A132" w14:textId="77777777" w:rsidR="00083C7E" w:rsidRDefault="00047EFE">
            <w:pPr>
              <w:spacing w:line="360" w:lineRule="auto"/>
              <w:jc w:val="center"/>
              <w:rPr>
                <w:rFonts w:ascii="Arial" w:hAnsi="Arial" w:cs="Arial"/>
                <w:sz w:val="22"/>
                <w:szCs w:val="22"/>
                <w:lang w:val="zh-CN"/>
              </w:rPr>
            </w:pPr>
            <w:r>
              <w:rPr>
                <w:rFonts w:ascii="Arial" w:hAnsi="Arial"/>
                <w:sz w:val="22"/>
                <w:lang w:val="zh-CN"/>
              </w:rPr>
              <w:t>1,020</w:t>
            </w:r>
            <w:r>
              <w:rPr>
                <w:rFonts w:ascii="Symbol" w:hAnsi="Symbol"/>
                <w:sz w:val="22"/>
                <w:lang w:val="zh-CN"/>
              </w:rPr>
              <w:sym w:font="Symbol" w:char="F0B1"/>
            </w:r>
            <w:r>
              <w:rPr>
                <w:rFonts w:ascii="Arial" w:hAnsi="Arial"/>
                <w:sz w:val="22"/>
                <w:lang w:val="zh-CN"/>
              </w:rPr>
              <w:t>2,05</w:t>
            </w:r>
            <w:r>
              <w:rPr>
                <w:rFonts w:ascii="Arial" w:hAnsi="Arial"/>
                <w:sz w:val="22"/>
                <w:vertAlign w:val="superscript"/>
                <w:lang w:val="zh-CN"/>
              </w:rPr>
              <w:t>a</w:t>
            </w:r>
          </w:p>
        </w:tc>
      </w:tr>
      <w:tr w:rsidR="00083C7E" w14:paraId="1C57EFBA" w14:textId="77777777">
        <w:trPr>
          <w:trHeight w:val="382"/>
        </w:trPr>
        <w:tc>
          <w:tcPr>
            <w:tcW w:w="2313" w:type="dxa"/>
            <w:tcBorders>
              <w:top w:val="nil"/>
              <w:left w:val="nil"/>
              <w:bottom w:val="nil"/>
              <w:right w:val="nil"/>
            </w:tcBorders>
          </w:tcPr>
          <w:p w14:paraId="5179116C" w14:textId="77777777" w:rsidR="00083C7E" w:rsidRDefault="00047EFE">
            <w:pPr>
              <w:spacing w:line="360" w:lineRule="auto"/>
              <w:jc w:val="center"/>
              <w:rPr>
                <w:rFonts w:ascii="Arial" w:hAnsi="Arial" w:cs="Arial"/>
                <w:sz w:val="22"/>
                <w:szCs w:val="22"/>
                <w:lang w:val="zh-CN"/>
              </w:rPr>
            </w:pPr>
            <w:r>
              <w:rPr>
                <w:rFonts w:ascii="Arial" w:hAnsi="Arial"/>
                <w:sz w:val="22"/>
                <w:lang w:val="zh-CN"/>
              </w:rPr>
              <w:t>B</w:t>
            </w:r>
          </w:p>
        </w:tc>
        <w:tc>
          <w:tcPr>
            <w:tcW w:w="2252" w:type="dxa"/>
            <w:tcBorders>
              <w:top w:val="nil"/>
              <w:left w:val="nil"/>
              <w:bottom w:val="nil"/>
              <w:right w:val="nil"/>
            </w:tcBorders>
          </w:tcPr>
          <w:p w14:paraId="2C9E2F55" w14:textId="77777777" w:rsidR="00083C7E" w:rsidRDefault="00047EFE">
            <w:pPr>
              <w:spacing w:line="360" w:lineRule="auto"/>
              <w:jc w:val="center"/>
              <w:rPr>
                <w:rFonts w:ascii="Arial" w:hAnsi="Arial" w:cs="Arial"/>
                <w:sz w:val="22"/>
                <w:szCs w:val="22"/>
                <w:lang w:val="zh-CN"/>
              </w:rPr>
            </w:pPr>
            <w:r>
              <w:rPr>
                <w:rFonts w:ascii="Arial" w:hAnsi="Arial"/>
                <w:sz w:val="22"/>
                <w:lang w:val="zh-CN"/>
              </w:rPr>
              <w:t>1,385</w:t>
            </w:r>
            <w:r>
              <w:rPr>
                <w:rFonts w:ascii="Symbol" w:hAnsi="Symbol"/>
                <w:sz w:val="22"/>
                <w:lang w:val="zh-CN"/>
              </w:rPr>
              <w:sym w:font="Symbol" w:char="F0B1"/>
            </w:r>
            <w:r>
              <w:rPr>
                <w:rFonts w:ascii="Arial" w:hAnsi="Arial"/>
                <w:sz w:val="22"/>
                <w:lang w:val="zh-CN"/>
              </w:rPr>
              <w:t>0,19</w:t>
            </w:r>
            <w:r>
              <w:rPr>
                <w:rFonts w:ascii="Arial" w:hAnsi="Arial"/>
                <w:sz w:val="22"/>
                <w:vertAlign w:val="superscript"/>
                <w:lang w:val="zh-CN"/>
              </w:rPr>
              <w:t>a</w:t>
            </w:r>
          </w:p>
        </w:tc>
        <w:tc>
          <w:tcPr>
            <w:tcW w:w="2253" w:type="dxa"/>
            <w:tcBorders>
              <w:top w:val="nil"/>
              <w:left w:val="nil"/>
              <w:bottom w:val="nil"/>
              <w:right w:val="nil"/>
            </w:tcBorders>
          </w:tcPr>
          <w:p w14:paraId="4B8A9437" w14:textId="77777777" w:rsidR="00083C7E" w:rsidRDefault="00047EFE">
            <w:pPr>
              <w:spacing w:line="360" w:lineRule="auto"/>
              <w:jc w:val="center"/>
              <w:rPr>
                <w:rFonts w:ascii="Arial" w:hAnsi="Arial" w:cs="Arial"/>
                <w:sz w:val="22"/>
                <w:szCs w:val="22"/>
                <w:lang w:val="zh-CN"/>
              </w:rPr>
            </w:pPr>
            <w:r>
              <w:rPr>
                <w:rFonts w:ascii="Arial" w:hAnsi="Arial"/>
                <w:sz w:val="22"/>
                <w:lang w:val="zh-CN"/>
              </w:rPr>
              <w:t>3,488</w:t>
            </w:r>
            <w:r>
              <w:rPr>
                <w:rFonts w:ascii="Symbol" w:hAnsi="Symbol"/>
                <w:sz w:val="22"/>
                <w:lang w:val="zh-CN"/>
              </w:rPr>
              <w:sym w:font="Symbol" w:char="F0B1"/>
            </w:r>
            <w:r>
              <w:rPr>
                <w:rFonts w:ascii="Arial" w:hAnsi="Arial"/>
                <w:sz w:val="22"/>
                <w:lang w:val="zh-CN"/>
              </w:rPr>
              <w:t>0,73</w:t>
            </w:r>
            <w:r>
              <w:rPr>
                <w:rFonts w:ascii="Arial" w:hAnsi="Arial"/>
                <w:sz w:val="22"/>
                <w:vertAlign w:val="superscript"/>
                <w:lang w:val="zh-CN"/>
              </w:rPr>
              <w:t>a</w:t>
            </w:r>
          </w:p>
        </w:tc>
        <w:tc>
          <w:tcPr>
            <w:tcW w:w="2253" w:type="dxa"/>
            <w:tcBorders>
              <w:top w:val="nil"/>
              <w:left w:val="nil"/>
              <w:bottom w:val="nil"/>
              <w:right w:val="nil"/>
            </w:tcBorders>
          </w:tcPr>
          <w:p w14:paraId="1E64CEA2" w14:textId="77777777" w:rsidR="00083C7E" w:rsidRDefault="00047EFE">
            <w:pPr>
              <w:spacing w:line="360" w:lineRule="auto"/>
              <w:jc w:val="center"/>
              <w:rPr>
                <w:rFonts w:ascii="Arial" w:hAnsi="Arial" w:cs="Arial"/>
                <w:sz w:val="22"/>
                <w:szCs w:val="22"/>
                <w:lang w:val="zh-CN"/>
              </w:rPr>
            </w:pPr>
            <w:r>
              <w:rPr>
                <w:rFonts w:ascii="Arial" w:hAnsi="Arial"/>
                <w:sz w:val="22"/>
                <w:lang w:val="zh-CN"/>
              </w:rPr>
              <w:t>1,097</w:t>
            </w:r>
            <w:r>
              <w:rPr>
                <w:rFonts w:ascii="Symbol" w:hAnsi="Symbol"/>
                <w:sz w:val="22"/>
                <w:lang w:val="zh-CN"/>
              </w:rPr>
              <w:sym w:font="Symbol" w:char="F0B1"/>
            </w:r>
            <w:r>
              <w:rPr>
                <w:rFonts w:ascii="Arial" w:hAnsi="Arial"/>
                <w:sz w:val="22"/>
                <w:lang w:val="zh-CN"/>
              </w:rPr>
              <w:t>1,93</w:t>
            </w:r>
            <w:r>
              <w:rPr>
                <w:rFonts w:ascii="Arial" w:hAnsi="Arial"/>
                <w:sz w:val="22"/>
                <w:vertAlign w:val="superscript"/>
                <w:lang w:val="zh-CN"/>
              </w:rPr>
              <w:t>a</w:t>
            </w:r>
          </w:p>
        </w:tc>
      </w:tr>
      <w:tr w:rsidR="00083C7E" w14:paraId="041FE472" w14:textId="77777777">
        <w:trPr>
          <w:trHeight w:val="365"/>
        </w:trPr>
        <w:tc>
          <w:tcPr>
            <w:tcW w:w="2313" w:type="dxa"/>
            <w:tcBorders>
              <w:top w:val="nil"/>
              <w:left w:val="nil"/>
              <w:bottom w:val="nil"/>
              <w:right w:val="nil"/>
            </w:tcBorders>
          </w:tcPr>
          <w:p w14:paraId="749461FF" w14:textId="77777777" w:rsidR="00083C7E" w:rsidRDefault="00047EFE">
            <w:pPr>
              <w:spacing w:line="360" w:lineRule="auto"/>
              <w:jc w:val="center"/>
              <w:rPr>
                <w:rFonts w:ascii="Arial" w:hAnsi="Arial" w:cs="Arial"/>
                <w:sz w:val="22"/>
                <w:szCs w:val="22"/>
                <w:lang w:val="zh-CN"/>
              </w:rPr>
            </w:pPr>
            <w:r>
              <w:rPr>
                <w:rFonts w:ascii="Arial" w:hAnsi="Arial"/>
                <w:sz w:val="22"/>
                <w:lang w:val="zh-CN"/>
              </w:rPr>
              <w:t>C</w:t>
            </w:r>
          </w:p>
        </w:tc>
        <w:tc>
          <w:tcPr>
            <w:tcW w:w="2252" w:type="dxa"/>
            <w:tcBorders>
              <w:top w:val="nil"/>
              <w:left w:val="nil"/>
              <w:bottom w:val="nil"/>
              <w:right w:val="nil"/>
            </w:tcBorders>
          </w:tcPr>
          <w:p w14:paraId="7B807303" w14:textId="77777777" w:rsidR="00083C7E" w:rsidRDefault="00047EFE">
            <w:pPr>
              <w:spacing w:line="360" w:lineRule="auto"/>
              <w:jc w:val="center"/>
              <w:rPr>
                <w:rFonts w:ascii="Arial" w:hAnsi="Arial" w:cs="Arial"/>
                <w:sz w:val="22"/>
                <w:szCs w:val="22"/>
                <w:lang w:val="zh-CN"/>
              </w:rPr>
            </w:pPr>
            <w:r>
              <w:rPr>
                <w:rFonts w:ascii="Arial" w:hAnsi="Arial"/>
                <w:sz w:val="22"/>
                <w:lang w:val="zh-CN"/>
              </w:rPr>
              <w:t>1,007</w:t>
            </w:r>
            <w:r>
              <w:rPr>
                <w:rFonts w:ascii="Symbol" w:hAnsi="Symbol"/>
                <w:sz w:val="22"/>
                <w:lang w:val="zh-CN"/>
              </w:rPr>
              <w:sym w:font="Symbol" w:char="F0B1"/>
            </w:r>
            <w:r>
              <w:rPr>
                <w:rFonts w:ascii="Arial" w:hAnsi="Arial"/>
                <w:sz w:val="22"/>
                <w:lang w:val="zh-CN"/>
              </w:rPr>
              <w:t>0,78</w:t>
            </w:r>
            <w:r>
              <w:rPr>
                <w:rFonts w:ascii="Arial" w:hAnsi="Arial"/>
                <w:sz w:val="22"/>
                <w:vertAlign w:val="superscript"/>
                <w:lang w:val="zh-CN"/>
              </w:rPr>
              <w:t>a</w:t>
            </w:r>
          </w:p>
        </w:tc>
        <w:tc>
          <w:tcPr>
            <w:tcW w:w="2253" w:type="dxa"/>
            <w:tcBorders>
              <w:top w:val="nil"/>
              <w:left w:val="nil"/>
              <w:bottom w:val="nil"/>
              <w:right w:val="nil"/>
            </w:tcBorders>
          </w:tcPr>
          <w:p w14:paraId="09C93234" w14:textId="77777777" w:rsidR="00083C7E" w:rsidRDefault="00047EFE">
            <w:pPr>
              <w:spacing w:line="360" w:lineRule="auto"/>
              <w:jc w:val="center"/>
              <w:rPr>
                <w:rFonts w:ascii="Arial" w:hAnsi="Arial" w:cs="Arial"/>
                <w:sz w:val="22"/>
                <w:szCs w:val="22"/>
                <w:lang w:val="zh-CN"/>
              </w:rPr>
            </w:pPr>
            <w:r>
              <w:rPr>
                <w:rFonts w:ascii="Arial" w:hAnsi="Arial"/>
                <w:sz w:val="22"/>
                <w:lang w:val="zh-CN"/>
              </w:rPr>
              <w:t>6,231</w:t>
            </w:r>
            <w:r>
              <w:rPr>
                <w:rFonts w:ascii="Symbol" w:hAnsi="Symbol"/>
                <w:sz w:val="22"/>
                <w:lang w:val="zh-CN"/>
              </w:rPr>
              <w:sym w:font="Symbol" w:char="F0B1"/>
            </w:r>
            <w:r>
              <w:rPr>
                <w:rFonts w:ascii="Arial" w:hAnsi="Arial"/>
                <w:sz w:val="22"/>
                <w:lang w:val="zh-CN"/>
              </w:rPr>
              <w:t>1,45</w:t>
            </w:r>
            <w:r>
              <w:rPr>
                <w:rFonts w:ascii="Arial" w:hAnsi="Arial"/>
                <w:sz w:val="22"/>
                <w:vertAlign w:val="superscript"/>
                <w:lang w:val="zh-CN"/>
              </w:rPr>
              <w:t>b</w:t>
            </w:r>
          </w:p>
        </w:tc>
        <w:tc>
          <w:tcPr>
            <w:tcW w:w="2253" w:type="dxa"/>
            <w:tcBorders>
              <w:top w:val="nil"/>
              <w:left w:val="nil"/>
              <w:bottom w:val="nil"/>
              <w:right w:val="nil"/>
            </w:tcBorders>
          </w:tcPr>
          <w:p w14:paraId="0697AEF7" w14:textId="77777777" w:rsidR="00083C7E" w:rsidRDefault="00047EFE">
            <w:pPr>
              <w:spacing w:line="360" w:lineRule="auto"/>
              <w:jc w:val="center"/>
              <w:rPr>
                <w:rFonts w:ascii="Arial" w:hAnsi="Arial" w:cs="Arial"/>
                <w:sz w:val="22"/>
                <w:szCs w:val="22"/>
                <w:lang w:val="zh-CN"/>
              </w:rPr>
            </w:pPr>
            <w:r>
              <w:rPr>
                <w:rFonts w:ascii="Arial" w:hAnsi="Arial"/>
                <w:sz w:val="22"/>
                <w:lang w:val="zh-CN"/>
              </w:rPr>
              <w:t>1,120</w:t>
            </w:r>
            <w:r>
              <w:rPr>
                <w:rFonts w:ascii="Symbol" w:hAnsi="Symbol"/>
                <w:sz w:val="22"/>
                <w:lang w:val="zh-CN"/>
              </w:rPr>
              <w:sym w:font="Symbol" w:char="F0B1"/>
            </w:r>
            <w:r>
              <w:rPr>
                <w:rFonts w:ascii="Arial" w:hAnsi="Arial"/>
                <w:sz w:val="22"/>
                <w:lang w:val="zh-CN"/>
              </w:rPr>
              <w:t>2,17</w:t>
            </w:r>
            <w:r>
              <w:rPr>
                <w:rFonts w:ascii="Arial" w:hAnsi="Arial"/>
                <w:sz w:val="22"/>
                <w:vertAlign w:val="superscript"/>
                <w:lang w:val="zh-CN"/>
              </w:rPr>
              <w:t>a</w:t>
            </w:r>
          </w:p>
        </w:tc>
      </w:tr>
      <w:tr w:rsidR="00083C7E" w14:paraId="3966E705" w14:textId="77777777">
        <w:trPr>
          <w:trHeight w:val="365"/>
        </w:trPr>
        <w:tc>
          <w:tcPr>
            <w:tcW w:w="2313" w:type="dxa"/>
            <w:tcBorders>
              <w:top w:val="nil"/>
              <w:left w:val="nil"/>
              <w:bottom w:val="single" w:sz="4" w:space="0" w:color="auto"/>
              <w:right w:val="nil"/>
            </w:tcBorders>
          </w:tcPr>
          <w:p w14:paraId="568B8B0E" w14:textId="77777777" w:rsidR="00083C7E" w:rsidRDefault="00047EFE">
            <w:pPr>
              <w:spacing w:line="360" w:lineRule="auto"/>
              <w:jc w:val="center"/>
              <w:rPr>
                <w:rFonts w:ascii="Arial" w:hAnsi="Arial"/>
                <w:sz w:val="22"/>
                <w:lang w:val="zh-CN"/>
              </w:rPr>
            </w:pPr>
            <w:r>
              <w:rPr>
                <w:rFonts w:ascii="Arial" w:hAnsi="Arial"/>
                <w:sz w:val="22"/>
              </w:rPr>
              <w:t>D</w:t>
            </w:r>
          </w:p>
        </w:tc>
        <w:tc>
          <w:tcPr>
            <w:tcW w:w="2252" w:type="dxa"/>
            <w:tcBorders>
              <w:top w:val="nil"/>
              <w:left w:val="nil"/>
              <w:bottom w:val="single" w:sz="4" w:space="0" w:color="auto"/>
              <w:right w:val="nil"/>
            </w:tcBorders>
          </w:tcPr>
          <w:p w14:paraId="42628748" w14:textId="77777777" w:rsidR="00083C7E" w:rsidRDefault="00047EFE">
            <w:pPr>
              <w:spacing w:line="360" w:lineRule="auto"/>
              <w:jc w:val="center"/>
              <w:rPr>
                <w:rFonts w:ascii="Arial" w:hAnsi="Arial"/>
                <w:sz w:val="22"/>
                <w:lang w:val="zh-CN"/>
              </w:rPr>
            </w:pPr>
            <w:r>
              <w:rPr>
                <w:rFonts w:ascii="Arial" w:hAnsi="Arial"/>
                <w:sz w:val="22"/>
              </w:rPr>
              <w:t>0,680</w:t>
            </w:r>
            <w:r>
              <w:rPr>
                <w:rFonts w:ascii="Symbol" w:hAnsi="Symbol"/>
                <w:sz w:val="22"/>
              </w:rPr>
              <w:sym w:font="Symbol" w:char="F0B1"/>
            </w:r>
            <w:r>
              <w:rPr>
                <w:rFonts w:ascii="Arial" w:hAnsi="Arial"/>
                <w:sz w:val="22"/>
              </w:rPr>
              <w:t>1,36</w:t>
            </w:r>
            <w:r>
              <w:rPr>
                <w:rFonts w:ascii="Arial" w:hAnsi="Arial"/>
                <w:sz w:val="22"/>
                <w:vertAlign w:val="superscript"/>
              </w:rPr>
              <w:t>a</w:t>
            </w:r>
          </w:p>
        </w:tc>
        <w:tc>
          <w:tcPr>
            <w:tcW w:w="2253" w:type="dxa"/>
            <w:tcBorders>
              <w:top w:val="nil"/>
              <w:left w:val="nil"/>
              <w:bottom w:val="single" w:sz="4" w:space="0" w:color="auto"/>
              <w:right w:val="nil"/>
            </w:tcBorders>
          </w:tcPr>
          <w:p w14:paraId="58EC9DE9" w14:textId="77777777" w:rsidR="00083C7E" w:rsidRDefault="00047EFE">
            <w:pPr>
              <w:spacing w:line="360" w:lineRule="auto"/>
              <w:jc w:val="center"/>
              <w:rPr>
                <w:rFonts w:ascii="Arial" w:hAnsi="Arial"/>
                <w:sz w:val="22"/>
                <w:lang w:val="zh-CN"/>
              </w:rPr>
            </w:pPr>
            <w:r>
              <w:rPr>
                <w:rFonts w:ascii="Arial" w:hAnsi="Arial"/>
                <w:sz w:val="22"/>
              </w:rPr>
              <w:t>5,981</w:t>
            </w:r>
            <w:r>
              <w:rPr>
                <w:rFonts w:ascii="Symbol" w:hAnsi="Symbol"/>
                <w:sz w:val="22"/>
              </w:rPr>
              <w:sym w:font="Symbol" w:char="F0B1"/>
            </w:r>
            <w:r>
              <w:rPr>
                <w:rFonts w:ascii="Arial" w:hAnsi="Arial"/>
                <w:sz w:val="22"/>
              </w:rPr>
              <w:t>1,19</w:t>
            </w:r>
            <w:r>
              <w:rPr>
                <w:rFonts w:ascii="Arial" w:hAnsi="Arial"/>
                <w:sz w:val="22"/>
                <w:vertAlign w:val="superscript"/>
              </w:rPr>
              <w:t>b</w:t>
            </w:r>
          </w:p>
        </w:tc>
        <w:tc>
          <w:tcPr>
            <w:tcW w:w="2253" w:type="dxa"/>
            <w:tcBorders>
              <w:top w:val="nil"/>
              <w:left w:val="nil"/>
              <w:bottom w:val="single" w:sz="4" w:space="0" w:color="auto"/>
              <w:right w:val="nil"/>
            </w:tcBorders>
          </w:tcPr>
          <w:p w14:paraId="0872DBCC" w14:textId="77777777" w:rsidR="00083C7E" w:rsidRDefault="00047EFE">
            <w:pPr>
              <w:spacing w:line="360" w:lineRule="auto"/>
              <w:jc w:val="center"/>
              <w:rPr>
                <w:rFonts w:ascii="Arial" w:hAnsi="Arial"/>
                <w:sz w:val="22"/>
                <w:lang w:val="zh-CN"/>
              </w:rPr>
            </w:pPr>
            <w:r>
              <w:rPr>
                <w:rFonts w:ascii="Arial" w:hAnsi="Arial"/>
                <w:sz w:val="22"/>
              </w:rPr>
              <w:t>1,167</w:t>
            </w:r>
            <w:r>
              <w:rPr>
                <w:rFonts w:ascii="Symbol" w:hAnsi="Symbol"/>
                <w:sz w:val="22"/>
              </w:rPr>
              <w:sym w:font="Symbol" w:char="F0B1"/>
            </w:r>
            <w:r>
              <w:rPr>
                <w:rFonts w:ascii="Arial" w:hAnsi="Arial"/>
                <w:sz w:val="22"/>
              </w:rPr>
              <w:t>2,36</w:t>
            </w:r>
            <w:r>
              <w:rPr>
                <w:rFonts w:ascii="Arial" w:hAnsi="Arial"/>
                <w:sz w:val="22"/>
                <w:vertAlign w:val="superscript"/>
              </w:rPr>
              <w:t>a</w:t>
            </w:r>
          </w:p>
        </w:tc>
      </w:tr>
    </w:tbl>
    <w:p w14:paraId="3BB9705A" w14:textId="77777777" w:rsidR="00083C7E" w:rsidRDefault="00047EFE">
      <w:pPr>
        <w:rPr>
          <w:rFonts w:ascii="Arial" w:hAnsi="Arial" w:cs="Arial"/>
          <w:color w:val="222222"/>
          <w:sz w:val="22"/>
          <w:szCs w:val="22"/>
        </w:rPr>
      </w:pPr>
      <w:r>
        <w:rPr>
          <w:rFonts w:ascii="Arial" w:hAnsi="Arial"/>
          <w:color w:val="222222"/>
          <w:sz w:val="22"/>
          <w:szCs w:val="22"/>
        </w:rPr>
        <w:t xml:space="preserve">Note: </w:t>
      </w:r>
      <w:r>
        <w:rPr>
          <w:rFonts w:ascii="Arial" w:hAnsi="Arial"/>
          <w:color w:val="222222"/>
          <w:sz w:val="22"/>
          <w:szCs w:val="22"/>
        </w:rPr>
        <w:t>Different superscript letters and the same parameters in tilapia showed significantly different treatment effects (Tukey's test; P&lt;0.05)</w:t>
      </w:r>
    </w:p>
    <w:p w14:paraId="5417F5C0" w14:textId="77777777" w:rsidR="00083C7E" w:rsidRDefault="00083C7E">
      <w:pPr>
        <w:jc w:val="both"/>
        <w:rPr>
          <w:rFonts w:ascii="Arial" w:hAnsi="Arial" w:cs="Arial"/>
          <w:sz w:val="22"/>
          <w:szCs w:val="22"/>
        </w:rPr>
      </w:pPr>
    </w:p>
    <w:p w14:paraId="363BA469" w14:textId="77777777" w:rsidR="00083C7E" w:rsidRDefault="00047EFE">
      <w:pPr>
        <w:jc w:val="both"/>
        <w:rPr>
          <w:rFonts w:ascii="Arial" w:hAnsi="Arial" w:cs="Arial"/>
          <w:sz w:val="22"/>
          <w:szCs w:val="22"/>
        </w:rPr>
      </w:pPr>
      <w:r>
        <w:rPr>
          <w:rFonts w:ascii="Arial" w:hAnsi="Arial"/>
          <w:sz w:val="22"/>
          <w:szCs w:val="22"/>
        </w:rPr>
        <w:t xml:space="preserve">Data are shown as mean ± standard deviation (SD) (n = 3). Also, the mean with different superscripts on the same line </w:t>
      </w:r>
      <w:r>
        <w:rPr>
          <w:rFonts w:ascii="Arial" w:hAnsi="Arial"/>
          <w:sz w:val="22"/>
          <w:szCs w:val="22"/>
        </w:rPr>
        <w:t>was significantly different (P&lt;0.05). where WG is the weight Gain, SGR is the Specific Growth Rate, FCR is the Food Conversion Ratio, HIS is the Hepatosomatic Index, DSI is the Digestivesomatic Index, and lastly, K is the Condition Factor.</w:t>
      </w:r>
    </w:p>
    <w:p w14:paraId="291F2BEF" w14:textId="77777777" w:rsidR="00083C7E" w:rsidRDefault="00083C7E">
      <w:pPr>
        <w:rPr>
          <w:rFonts w:ascii="Arial" w:hAnsi="Arial" w:cs="Arial"/>
          <w:b/>
          <w:sz w:val="28"/>
        </w:rPr>
      </w:pPr>
    </w:p>
    <w:p w14:paraId="2BE536DC" w14:textId="77777777" w:rsidR="00083C7E" w:rsidRDefault="00047EFE" w:rsidP="0060416A">
      <w:pPr>
        <w:outlineLvl w:val="0"/>
        <w:rPr>
          <w:rFonts w:ascii="Arial" w:hAnsi="Arial" w:cs="Arial"/>
          <w:i/>
          <w:sz w:val="22"/>
          <w:szCs w:val="22"/>
        </w:rPr>
      </w:pPr>
      <w:r>
        <w:rPr>
          <w:rFonts w:ascii="Arial" w:hAnsi="Arial"/>
          <w:i/>
          <w:sz w:val="22"/>
          <w:szCs w:val="22"/>
        </w:rPr>
        <w:lastRenderedPageBreak/>
        <w:t>Discussion</w:t>
      </w:r>
    </w:p>
    <w:p w14:paraId="137650E5" w14:textId="77777777" w:rsidR="00083C7E" w:rsidRDefault="00083C7E">
      <w:pPr>
        <w:rPr>
          <w:rFonts w:ascii="Arial" w:hAnsi="Arial" w:cs="Arial"/>
          <w:b/>
          <w:sz w:val="28"/>
        </w:rPr>
      </w:pPr>
    </w:p>
    <w:p w14:paraId="3D0A12CB" w14:textId="77777777" w:rsidR="00083C7E" w:rsidRDefault="00047EFE">
      <w:pPr>
        <w:jc w:val="both"/>
        <w:rPr>
          <w:rFonts w:ascii="Arial" w:hAnsi="Arial" w:cs="Arial"/>
          <w:sz w:val="22"/>
          <w:szCs w:val="22"/>
        </w:rPr>
      </w:pPr>
      <w:r>
        <w:rPr>
          <w:rFonts w:ascii="Arial" w:hAnsi="Arial"/>
          <w:sz w:val="22"/>
          <w:szCs w:val="22"/>
        </w:rPr>
        <w:t>Sym</w:t>
      </w:r>
      <w:r>
        <w:rPr>
          <w:rFonts w:ascii="Arial" w:hAnsi="Arial"/>
          <w:sz w:val="22"/>
          <w:szCs w:val="22"/>
        </w:rPr>
        <w:t>biont feed is a combination of probiotics and prebiotics that can improve feed quality, growth efficiency, survival rate, and population of lactic acid bacteria (L</w:t>
      </w:r>
      <w:r w:rsidR="0060416A">
        <w:rPr>
          <w:rFonts w:ascii="Arial" w:hAnsi="Arial"/>
          <w:sz w:val="22"/>
          <w:szCs w:val="22"/>
        </w:rPr>
        <w:t>AB) in fish (Pangaribuan et al.</w:t>
      </w:r>
      <w:r>
        <w:rPr>
          <w:rFonts w:ascii="Arial" w:hAnsi="Arial"/>
          <w:sz w:val="22"/>
          <w:szCs w:val="22"/>
        </w:rPr>
        <w:t xml:space="preserve"> 2017). The results showed that the survival rate (SR) during</w:t>
      </w:r>
      <w:r>
        <w:rPr>
          <w:rFonts w:ascii="Arial" w:hAnsi="Arial"/>
          <w:sz w:val="22"/>
          <w:szCs w:val="22"/>
        </w:rPr>
        <w:t xml:space="preserve"> the study was not significantly different (P&gt;0.05), but there was a tendency for treatment without using symbiont feed to be lower when compared to treatment using symbiont feed. This study</w:t>
      </w:r>
      <w:r w:rsidR="0060416A">
        <w:rPr>
          <w:rFonts w:ascii="Arial" w:hAnsi="Arial"/>
          <w:sz w:val="22"/>
          <w:szCs w:val="22"/>
        </w:rPr>
        <w:t xml:space="preserve"> is in line with Rusdani et al.</w:t>
      </w:r>
      <w:r>
        <w:rPr>
          <w:rFonts w:ascii="Arial" w:hAnsi="Arial"/>
          <w:sz w:val="22"/>
          <w:szCs w:val="22"/>
        </w:rPr>
        <w:t xml:space="preserve"> (2016), who found that when </w:t>
      </w:r>
      <w:r w:rsidRPr="0060416A">
        <w:rPr>
          <w:rFonts w:ascii="Arial" w:hAnsi="Arial"/>
          <w:i/>
          <w:sz w:val="22"/>
        </w:rPr>
        <w:t>Bacil</w:t>
      </w:r>
      <w:r w:rsidRPr="0060416A">
        <w:rPr>
          <w:rFonts w:ascii="Arial" w:hAnsi="Arial"/>
          <w:i/>
          <w:sz w:val="22"/>
        </w:rPr>
        <w:t>lus</w:t>
      </w:r>
      <w:r>
        <w:rPr>
          <w:rFonts w:ascii="Arial" w:hAnsi="Arial"/>
          <w:sz w:val="22"/>
          <w:szCs w:val="22"/>
        </w:rPr>
        <w:t xml:space="preserve"> spp. were included in feed, tilapia had a higher average tendency than when no probiotics were present.</w:t>
      </w:r>
      <w:r>
        <w:rPr>
          <w:rFonts w:ascii="Arial" w:hAnsi="Arial"/>
          <w:color w:val="000000"/>
          <w:sz w:val="22"/>
        </w:rPr>
        <w:t xml:space="preserve"> According t</w:t>
      </w:r>
      <w:r w:rsidR="0060416A">
        <w:rPr>
          <w:rFonts w:ascii="Arial" w:hAnsi="Arial"/>
          <w:color w:val="000000"/>
          <w:sz w:val="22"/>
        </w:rPr>
        <w:t>o research by Lusiastuti et al.</w:t>
      </w:r>
      <w:r>
        <w:rPr>
          <w:rFonts w:ascii="Arial" w:hAnsi="Arial"/>
          <w:color w:val="000000"/>
          <w:sz w:val="22"/>
        </w:rPr>
        <w:t xml:space="preserve"> (2017), feeding a combination of probiotics increases the survival</w:t>
      </w:r>
      <w:r w:rsidR="0060416A">
        <w:rPr>
          <w:rFonts w:ascii="Arial" w:hAnsi="Arial"/>
          <w:color w:val="000000"/>
          <w:sz w:val="22"/>
        </w:rPr>
        <w:t xml:space="preserve"> rate</w:t>
      </w:r>
      <w:r>
        <w:rPr>
          <w:rFonts w:ascii="Arial" w:hAnsi="Arial"/>
          <w:iCs/>
          <w:color w:val="000000"/>
          <w:sz w:val="22"/>
          <w:szCs w:val="22"/>
        </w:rPr>
        <w:t>,</w:t>
      </w:r>
      <w:r>
        <w:rPr>
          <w:rFonts w:ascii="Arial" w:hAnsi="Arial"/>
          <w:color w:val="000000"/>
          <w:sz w:val="22"/>
        </w:rPr>
        <w:t xml:space="preserve"> biomass, and immune response of fish</w:t>
      </w:r>
      <w:r>
        <w:rPr>
          <w:rFonts w:ascii="Arial" w:hAnsi="Arial"/>
          <w:color w:val="000000"/>
          <w:sz w:val="22"/>
        </w:rPr>
        <w:t xml:space="preserve">. This shows that the use of symbiont feed can increase the survival </w:t>
      </w:r>
      <w:r w:rsidR="0060416A">
        <w:rPr>
          <w:rFonts w:ascii="Arial" w:hAnsi="Arial"/>
          <w:color w:val="000000"/>
          <w:sz w:val="22"/>
        </w:rPr>
        <w:t xml:space="preserve"> rate </w:t>
      </w:r>
      <w:r>
        <w:rPr>
          <w:rFonts w:ascii="Arial" w:hAnsi="Arial"/>
          <w:color w:val="000000"/>
          <w:sz w:val="22"/>
        </w:rPr>
        <w:t>of tilapia because it can improve the balance of microflora in the digestive t</w:t>
      </w:r>
      <w:r w:rsidR="0060416A">
        <w:rPr>
          <w:rFonts w:ascii="Arial" w:hAnsi="Arial"/>
          <w:color w:val="000000"/>
          <w:sz w:val="22"/>
        </w:rPr>
        <w:t>ract (Nayak, 2010; Mural et al.</w:t>
      </w:r>
      <w:r>
        <w:rPr>
          <w:rFonts w:ascii="Arial" w:hAnsi="Arial"/>
          <w:color w:val="000000"/>
          <w:sz w:val="22"/>
        </w:rPr>
        <w:t xml:space="preserve"> 2017) and </w:t>
      </w:r>
      <w:r>
        <w:rPr>
          <w:rFonts w:ascii="Arial" w:hAnsi="Arial"/>
          <w:iCs/>
          <w:color w:val="000000"/>
          <w:sz w:val="22"/>
          <w:szCs w:val="22"/>
        </w:rPr>
        <w:t xml:space="preserve">also improve </w:t>
      </w:r>
      <w:r>
        <w:rPr>
          <w:rFonts w:ascii="Arial" w:hAnsi="Arial"/>
          <w:color w:val="000000"/>
          <w:sz w:val="22"/>
        </w:rPr>
        <w:t>digestive tract enzyme activity (Van Doan et al., 201</w:t>
      </w:r>
      <w:r>
        <w:rPr>
          <w:rFonts w:ascii="Arial" w:hAnsi="Arial"/>
          <w:color w:val="000000"/>
          <w:sz w:val="22"/>
        </w:rPr>
        <w:t xml:space="preserve">9). </w:t>
      </w:r>
      <w:r>
        <w:rPr>
          <w:rFonts w:ascii="Arial" w:hAnsi="Arial"/>
          <w:iCs/>
          <w:color w:val="000000"/>
          <w:sz w:val="22"/>
          <w:szCs w:val="22"/>
        </w:rPr>
        <w:t>Furthermore, symbiontz</w:t>
      </w:r>
      <w:r>
        <w:rPr>
          <w:rFonts w:ascii="Arial" w:hAnsi="Arial"/>
          <w:color w:val="000000"/>
          <w:sz w:val="22"/>
        </w:rPr>
        <w:t xml:space="preserve"> feeding can have a beneficial effect by increasing the gut microbiota through the growth and survival</w:t>
      </w:r>
      <w:r w:rsidR="0060416A">
        <w:rPr>
          <w:rFonts w:ascii="Arial" w:hAnsi="Arial"/>
          <w:color w:val="000000"/>
          <w:sz w:val="22"/>
        </w:rPr>
        <w:t xml:space="preserve"> rate of tilapia. (Rusdani et al.</w:t>
      </w:r>
      <w:r>
        <w:rPr>
          <w:rFonts w:ascii="Arial" w:hAnsi="Arial"/>
          <w:color w:val="000000"/>
          <w:sz w:val="22"/>
        </w:rPr>
        <w:t xml:space="preserve"> 2016).</w:t>
      </w:r>
      <w:r>
        <w:rPr>
          <w:rFonts w:ascii="Arial" w:hAnsi="Arial" w:cs="Arial"/>
          <w:iCs/>
          <w:sz w:val="22"/>
          <w:szCs w:val="22"/>
        </w:rPr>
        <w:t xml:space="preserve">  </w:t>
      </w:r>
    </w:p>
    <w:p w14:paraId="467FD907" w14:textId="77777777" w:rsidR="00083C7E" w:rsidRDefault="00AF4D33" w:rsidP="00AF4D33">
      <w:pPr>
        <w:jc w:val="center"/>
        <w:rPr>
          <w:rFonts w:ascii="Arial" w:hAnsi="Arial" w:cs="Arial"/>
          <w:sz w:val="22"/>
          <w:szCs w:val="22"/>
        </w:rPr>
      </w:pPr>
      <w:r w:rsidRPr="00911DA6">
        <w:rPr>
          <w:noProof/>
        </w:rPr>
        <w:drawing>
          <wp:inline distT="0" distB="0" distL="0" distR="0" wp14:anchorId="025C771C" wp14:editId="3052120A">
            <wp:extent cx="5080635" cy="2860040"/>
            <wp:effectExtent l="0" t="0" r="2476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B5AEDF" w14:textId="77777777" w:rsidR="00AF4D33" w:rsidRDefault="00AF4D33">
      <w:pPr>
        <w:jc w:val="center"/>
        <w:rPr>
          <w:rFonts w:ascii="Arial" w:hAnsi="Arial"/>
          <w:sz w:val="22"/>
          <w:szCs w:val="22"/>
        </w:rPr>
      </w:pPr>
    </w:p>
    <w:p w14:paraId="220265DF" w14:textId="77777777" w:rsidR="00083C7E" w:rsidRDefault="00047EFE" w:rsidP="0060416A">
      <w:pPr>
        <w:jc w:val="center"/>
        <w:outlineLvl w:val="0"/>
        <w:rPr>
          <w:rFonts w:ascii="Arial" w:hAnsi="Arial" w:cs="Arial"/>
          <w:sz w:val="22"/>
          <w:szCs w:val="22"/>
        </w:rPr>
      </w:pPr>
      <w:r>
        <w:rPr>
          <w:rFonts w:ascii="Arial" w:hAnsi="Arial"/>
          <w:sz w:val="22"/>
          <w:szCs w:val="22"/>
        </w:rPr>
        <w:t>Figure 1. Survival Rates of Salted Tilapia during Research</w:t>
      </w:r>
    </w:p>
    <w:p w14:paraId="510AF314" w14:textId="77777777" w:rsidR="00083C7E" w:rsidRDefault="00083C7E">
      <w:pPr>
        <w:jc w:val="both"/>
        <w:rPr>
          <w:rFonts w:ascii="Arial" w:hAnsi="Arial" w:cs="Arial"/>
          <w:sz w:val="22"/>
          <w:szCs w:val="22"/>
        </w:rPr>
      </w:pPr>
    </w:p>
    <w:p w14:paraId="2C1C22A7" w14:textId="77777777" w:rsidR="00083C7E" w:rsidRDefault="00047EFE" w:rsidP="0060416A">
      <w:pPr>
        <w:jc w:val="both"/>
        <w:outlineLvl w:val="0"/>
        <w:rPr>
          <w:rFonts w:ascii="Arial" w:hAnsi="Arial" w:cs="Arial"/>
          <w:sz w:val="22"/>
          <w:szCs w:val="22"/>
        </w:rPr>
      </w:pPr>
      <w:r>
        <w:rPr>
          <w:rFonts w:ascii="Arial" w:hAnsi="Arial"/>
          <w:sz w:val="22"/>
          <w:szCs w:val="22"/>
        </w:rPr>
        <w:t>Added WG, SGR and FCR</w:t>
      </w:r>
    </w:p>
    <w:p w14:paraId="4E6A3915" w14:textId="77777777" w:rsidR="00083C7E" w:rsidRDefault="00083C7E">
      <w:pPr>
        <w:jc w:val="both"/>
        <w:rPr>
          <w:rFonts w:ascii="Arial" w:hAnsi="Arial" w:cs="Arial"/>
          <w:sz w:val="22"/>
          <w:szCs w:val="22"/>
        </w:rPr>
      </w:pPr>
    </w:p>
    <w:p w14:paraId="5C1CC15B" w14:textId="77777777" w:rsidR="00083C7E" w:rsidRDefault="00047EFE">
      <w:pPr>
        <w:jc w:val="both"/>
        <w:rPr>
          <w:rFonts w:ascii="Arial" w:hAnsi="Arial" w:cs="Arial"/>
          <w:iCs/>
          <w:sz w:val="22"/>
          <w:szCs w:val="22"/>
        </w:rPr>
      </w:pPr>
      <w:r>
        <w:rPr>
          <w:rFonts w:ascii="Arial" w:hAnsi="Arial"/>
          <w:iCs/>
          <w:sz w:val="22"/>
          <w:szCs w:val="22"/>
        </w:rPr>
        <w:t xml:space="preserve">Symbiont feed provides certain benefits, such as increasing the utilization of nutrients, health levels, stress response, and disease resistance, as well as optimizing the microbial balance in the farmed animal environment (Van Doan </w:t>
      </w:r>
      <w:r w:rsidRPr="0060416A">
        <w:rPr>
          <w:rFonts w:ascii="Arial" w:hAnsi="Arial"/>
          <w:sz w:val="22"/>
          <w:szCs w:val="22"/>
        </w:rPr>
        <w:t>et al</w:t>
      </w:r>
      <w:r w:rsidR="0060416A" w:rsidRPr="0060416A">
        <w:rPr>
          <w:rFonts w:ascii="Arial" w:hAnsi="Arial"/>
          <w:iCs/>
          <w:sz w:val="22"/>
          <w:szCs w:val="22"/>
        </w:rPr>
        <w:t>.</w:t>
      </w:r>
      <w:r>
        <w:rPr>
          <w:rFonts w:ascii="Arial" w:hAnsi="Arial"/>
          <w:iCs/>
          <w:sz w:val="22"/>
          <w:szCs w:val="22"/>
        </w:rPr>
        <w:t xml:space="preserve"> 2018). Another </w:t>
      </w:r>
      <w:r>
        <w:rPr>
          <w:rFonts w:ascii="Arial" w:hAnsi="Arial"/>
          <w:iCs/>
          <w:sz w:val="22"/>
          <w:szCs w:val="22"/>
        </w:rPr>
        <w:t>benefit is providing the ability to produce extracellular enzymes that increases feed utilization (Nuez-Ortin, 2013).</w:t>
      </w:r>
    </w:p>
    <w:p w14:paraId="56329B05" w14:textId="77777777" w:rsidR="00083C7E" w:rsidRDefault="00083C7E">
      <w:pPr>
        <w:jc w:val="both"/>
        <w:rPr>
          <w:rFonts w:ascii="Arial" w:hAnsi="Arial" w:cs="Arial"/>
          <w:iCs/>
          <w:sz w:val="22"/>
          <w:szCs w:val="22"/>
        </w:rPr>
      </w:pPr>
    </w:p>
    <w:p w14:paraId="6E71FC49" w14:textId="77777777" w:rsidR="00083C7E" w:rsidRDefault="00047EFE">
      <w:pPr>
        <w:jc w:val="both"/>
        <w:rPr>
          <w:rFonts w:ascii="Arial" w:hAnsi="Arial" w:cs="Arial"/>
          <w:sz w:val="22"/>
          <w:szCs w:val="22"/>
        </w:rPr>
      </w:pPr>
      <w:r>
        <w:rPr>
          <w:rFonts w:ascii="Arial" w:hAnsi="Arial"/>
          <w:iCs/>
          <w:sz w:val="22"/>
          <w:szCs w:val="22"/>
        </w:rPr>
        <w:t>Meanwhile, the introduction of body weight (WG), specific growth rate (SGR), and feed conversion (FCR) are important parameters in the ob</w:t>
      </w:r>
      <w:r>
        <w:rPr>
          <w:rFonts w:ascii="Arial" w:hAnsi="Arial"/>
          <w:iCs/>
          <w:sz w:val="22"/>
          <w:szCs w:val="22"/>
        </w:rPr>
        <w:t xml:space="preserve">servation of tilapia. These observations showed that WG, SGR, and FCR in this research were found to be insignificant (P&gt;0.05), as shown in Table 2. However, treatment B containing </w:t>
      </w:r>
      <w:r>
        <w:rPr>
          <w:rFonts w:ascii="Arial" w:hAnsi="Arial"/>
          <w:sz w:val="22"/>
          <w:szCs w:val="22"/>
        </w:rPr>
        <w:t>10</w:t>
      </w:r>
      <w:r>
        <w:rPr>
          <w:rFonts w:ascii="Arial" w:hAnsi="Arial"/>
          <w:sz w:val="22"/>
          <w:szCs w:val="22"/>
          <w:vertAlign w:val="superscript"/>
        </w:rPr>
        <w:t>5</w:t>
      </w:r>
      <w:r>
        <w:rPr>
          <w:rFonts w:ascii="Arial" w:hAnsi="Arial"/>
          <w:sz w:val="22"/>
          <w:szCs w:val="22"/>
        </w:rPr>
        <w:t xml:space="preserve">CFU/mL of </w:t>
      </w:r>
      <w:r>
        <w:rPr>
          <w:rFonts w:ascii="Arial" w:hAnsi="Arial"/>
          <w:i/>
          <w:sz w:val="22"/>
        </w:rPr>
        <w:t xml:space="preserve">B. </w:t>
      </w:r>
      <w:r>
        <w:rPr>
          <w:rFonts w:ascii="Arial" w:hAnsi="Arial"/>
          <w:i/>
          <w:sz w:val="22"/>
          <w:szCs w:val="22"/>
        </w:rPr>
        <w:t>subtilis</w:t>
      </w:r>
      <w:r>
        <w:rPr>
          <w:rFonts w:ascii="Arial" w:hAnsi="Arial"/>
          <w:iCs/>
          <w:sz w:val="22"/>
          <w:szCs w:val="22"/>
        </w:rPr>
        <w:t xml:space="preserve"> and 1% banana flour gave a better outcome when com</w:t>
      </w:r>
      <w:r>
        <w:rPr>
          <w:rFonts w:ascii="Arial" w:hAnsi="Arial"/>
          <w:iCs/>
          <w:sz w:val="22"/>
          <w:szCs w:val="22"/>
        </w:rPr>
        <w:t>pared to other treatments. The average weight percentage (WG) of 3.491.04</w:t>
      </w:r>
      <w:r>
        <w:rPr>
          <w:rFonts w:ascii="Arial" w:hAnsi="Arial"/>
          <w:sz w:val="22"/>
        </w:rPr>
        <w:t>a</w:t>
      </w:r>
      <w:r>
        <w:rPr>
          <w:rFonts w:ascii="Arial" w:hAnsi="Arial"/>
          <w:iCs/>
          <w:sz w:val="22"/>
          <w:szCs w:val="22"/>
        </w:rPr>
        <w:t>, and the SGR of 1.14 % 0.000</w:t>
      </w:r>
      <w:r>
        <w:rPr>
          <w:rFonts w:ascii="Arial" w:hAnsi="Arial"/>
          <w:sz w:val="22"/>
        </w:rPr>
        <w:t>a</w:t>
      </w:r>
      <w:r>
        <w:rPr>
          <w:rFonts w:ascii="Arial" w:hAnsi="Arial"/>
          <w:iCs/>
          <w:sz w:val="22"/>
          <w:szCs w:val="22"/>
        </w:rPr>
        <w:t> during the research were relatively higher, despite the fact that the FCR value did not show a clear pattern. The higher percentage of body weight (WG)</w:t>
      </w:r>
      <w:r>
        <w:rPr>
          <w:rFonts w:ascii="Arial" w:hAnsi="Arial"/>
          <w:iCs/>
          <w:sz w:val="22"/>
          <w:szCs w:val="22"/>
        </w:rPr>
        <w:t xml:space="preserve"> and SGR (%) during the research compared to other treatments proved that symbiont feed, when given effectively to feed, could improve the balance between probiotics and prebiotics, which had an effect on improving digestive tract function. Widanarni et al</w:t>
      </w:r>
      <w:r>
        <w:rPr>
          <w:rFonts w:ascii="Arial" w:hAnsi="Arial"/>
          <w:iCs/>
          <w:sz w:val="22"/>
          <w:szCs w:val="22"/>
        </w:rPr>
        <w:t xml:space="preserve">., 2016 proposed that symbiotics refer to nutritional supplements that combine probiotics and prebiotics. The effectiveness of digestive enzymes increases as well, </w:t>
      </w:r>
      <w:r>
        <w:rPr>
          <w:rFonts w:ascii="Arial" w:hAnsi="Arial"/>
          <w:iCs/>
          <w:sz w:val="22"/>
          <w:szCs w:val="22"/>
        </w:rPr>
        <w:lastRenderedPageBreak/>
        <w:t>which leads to increased growth (TL Welker and Lim, 2011; Abareethan &amp; Amsath, 2015), improv</w:t>
      </w:r>
      <w:r>
        <w:rPr>
          <w:rFonts w:ascii="Arial" w:hAnsi="Arial"/>
          <w:iCs/>
          <w:sz w:val="22"/>
          <w:szCs w:val="22"/>
        </w:rPr>
        <w:t>ed immune systems in fish (Kesarcodi Watson, 2008), and increased host resistance to pathog</w:t>
      </w:r>
      <w:r w:rsidR="0060416A">
        <w:rPr>
          <w:rFonts w:ascii="Arial" w:hAnsi="Arial"/>
          <w:iCs/>
          <w:sz w:val="22"/>
          <w:szCs w:val="22"/>
        </w:rPr>
        <w:t>en infections. (Geraylou et al.</w:t>
      </w:r>
      <w:r>
        <w:rPr>
          <w:rFonts w:ascii="Arial" w:hAnsi="Arial"/>
          <w:iCs/>
          <w:sz w:val="22"/>
          <w:szCs w:val="22"/>
        </w:rPr>
        <w:t xml:space="preserve"> 2013). Similarly, Rusdani et al. (2016) discovered that the addition of probiotic </w:t>
      </w:r>
      <w:r>
        <w:rPr>
          <w:rFonts w:ascii="Arial" w:hAnsi="Arial"/>
          <w:sz w:val="22"/>
        </w:rPr>
        <w:t>Bacillus</w:t>
      </w:r>
      <w:r>
        <w:rPr>
          <w:rFonts w:ascii="Arial" w:hAnsi="Arial"/>
          <w:iCs/>
          <w:sz w:val="22"/>
          <w:szCs w:val="22"/>
        </w:rPr>
        <w:t xml:space="preserve"> spp. and molasses (10v/v) increased the s</w:t>
      </w:r>
      <w:r>
        <w:rPr>
          <w:rFonts w:ascii="Arial" w:hAnsi="Arial"/>
          <w:iCs/>
          <w:sz w:val="22"/>
          <w:szCs w:val="22"/>
        </w:rPr>
        <w:t>urvival rate and daily growth rate to 96.67% and 1.01 %/day, respectively. According to (Pangaribuan et al., 2017), adding symbiotics to catfish (</w:t>
      </w:r>
      <w:r w:rsidRPr="0060416A">
        <w:rPr>
          <w:rFonts w:ascii="Arial" w:hAnsi="Arial"/>
          <w:i/>
          <w:sz w:val="22"/>
        </w:rPr>
        <w:t>Pangasius</w:t>
      </w:r>
      <w:r>
        <w:rPr>
          <w:rFonts w:ascii="Arial" w:hAnsi="Arial"/>
          <w:iCs/>
          <w:sz w:val="22"/>
          <w:szCs w:val="22"/>
        </w:rPr>
        <w:t xml:space="preserve"> sp) feed increased feed efficiency, protein digestibility, and SGR, by 55.46 %, 82.41%, and 4.18 %, </w:t>
      </w:r>
      <w:r>
        <w:rPr>
          <w:rFonts w:ascii="Arial" w:hAnsi="Arial"/>
          <w:iCs/>
          <w:sz w:val="22"/>
          <w:szCs w:val="22"/>
        </w:rPr>
        <w:t>respectively, as well as the SR.</w:t>
      </w:r>
      <w:r>
        <w:rPr>
          <w:rFonts w:ascii="Arial" w:hAnsi="Arial"/>
          <w:sz w:val="22"/>
          <w:szCs w:val="22"/>
        </w:rPr>
        <w:t xml:space="preserve"> As a result, these results are very good when compared to not feeding symbiont.</w:t>
      </w:r>
    </w:p>
    <w:p w14:paraId="25E864D2" w14:textId="77777777" w:rsidR="00083C7E" w:rsidRDefault="00083C7E" w:rsidP="00AF4D33">
      <w:pPr>
        <w:rPr>
          <w:rFonts w:ascii="Arial" w:hAnsi="Arial" w:cs="Arial"/>
          <w:sz w:val="22"/>
          <w:szCs w:val="22"/>
        </w:rPr>
      </w:pPr>
    </w:p>
    <w:p w14:paraId="5F70A022" w14:textId="77777777" w:rsidR="00083C7E" w:rsidRDefault="00AF4D33">
      <w:pPr>
        <w:jc w:val="center"/>
        <w:rPr>
          <w:rFonts w:ascii="Arial" w:hAnsi="Arial" w:cs="Arial"/>
          <w:sz w:val="22"/>
          <w:szCs w:val="22"/>
        </w:rPr>
      </w:pPr>
      <w:r>
        <w:rPr>
          <w:noProof/>
        </w:rPr>
        <w:drawing>
          <wp:inline distT="0" distB="0" distL="0" distR="0" wp14:anchorId="578ACB32" wp14:editId="02A22B8A">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BC1C01" w14:textId="77777777" w:rsidR="00083C7E" w:rsidRDefault="00083C7E">
      <w:pPr>
        <w:jc w:val="center"/>
        <w:rPr>
          <w:rFonts w:ascii="Arial" w:hAnsi="Arial" w:cs="Arial"/>
          <w:sz w:val="22"/>
          <w:szCs w:val="22"/>
        </w:rPr>
      </w:pPr>
    </w:p>
    <w:p w14:paraId="118B4289" w14:textId="77777777" w:rsidR="00083C7E" w:rsidRDefault="00047EFE" w:rsidP="0060416A">
      <w:pPr>
        <w:jc w:val="center"/>
        <w:outlineLvl w:val="0"/>
        <w:rPr>
          <w:rFonts w:ascii="Arial" w:hAnsi="Arial" w:cs="Arial"/>
          <w:sz w:val="22"/>
          <w:szCs w:val="22"/>
        </w:rPr>
      </w:pPr>
      <w:r>
        <w:rPr>
          <w:rFonts w:ascii="Arial" w:hAnsi="Arial"/>
          <w:sz w:val="22"/>
          <w:szCs w:val="22"/>
        </w:rPr>
        <w:t>Figure 2. Increase in Body Weight (WG) of Tilapia During Research</w:t>
      </w:r>
    </w:p>
    <w:p w14:paraId="2684321A" w14:textId="77777777" w:rsidR="00083C7E" w:rsidRDefault="00083C7E">
      <w:pPr>
        <w:jc w:val="both"/>
        <w:rPr>
          <w:rFonts w:ascii="Arial" w:hAnsi="Arial" w:cs="Arial"/>
          <w:sz w:val="22"/>
          <w:szCs w:val="22"/>
        </w:rPr>
      </w:pPr>
    </w:p>
    <w:p w14:paraId="3882C8FE" w14:textId="77777777" w:rsidR="00083C7E" w:rsidRDefault="00083C7E">
      <w:pPr>
        <w:jc w:val="both"/>
        <w:rPr>
          <w:rFonts w:ascii="Arial" w:hAnsi="Arial" w:cs="Arial"/>
          <w:sz w:val="22"/>
          <w:szCs w:val="22"/>
        </w:rPr>
      </w:pPr>
    </w:p>
    <w:p w14:paraId="0C657EEF" w14:textId="77777777" w:rsidR="00083C7E" w:rsidRDefault="00047EFE">
      <w:pPr>
        <w:jc w:val="both"/>
        <w:rPr>
          <w:rFonts w:ascii="Arial" w:hAnsi="Arial"/>
          <w:sz w:val="22"/>
          <w:szCs w:val="22"/>
        </w:rPr>
      </w:pPr>
      <w:r>
        <w:rPr>
          <w:rFonts w:ascii="Arial" w:hAnsi="Arial"/>
          <w:sz w:val="22"/>
          <w:szCs w:val="22"/>
        </w:rPr>
        <w:t xml:space="preserve">The lower FCR value of 1.07 in the artificial feed treatment with the addition of B. </w:t>
      </w:r>
      <w:r>
        <w:rPr>
          <w:rFonts w:ascii="Arial" w:hAnsi="Arial"/>
          <w:sz w:val="22"/>
        </w:rPr>
        <w:t>subtilis</w:t>
      </w:r>
      <w:r>
        <w:rPr>
          <w:rFonts w:ascii="Arial" w:hAnsi="Arial"/>
          <w:sz w:val="22"/>
          <w:szCs w:val="22"/>
        </w:rPr>
        <w:t xml:space="preserve"> 10</w:t>
      </w:r>
      <w:r w:rsidRPr="0060416A">
        <w:rPr>
          <w:rFonts w:ascii="Arial" w:hAnsi="Arial"/>
          <w:sz w:val="22"/>
          <w:szCs w:val="22"/>
          <w:vertAlign w:val="superscript"/>
        </w:rPr>
        <w:t>5</w:t>
      </w:r>
      <w:r>
        <w:rPr>
          <w:rFonts w:ascii="Arial" w:hAnsi="Arial"/>
          <w:sz w:val="22"/>
          <w:szCs w:val="22"/>
        </w:rPr>
        <w:t>CFU/mL and 1% banana flour (Treatment B) indicated better feed utilisation and nutrition by tilapia, resulting in a higher bodyweight value of tilapia as shown</w:t>
      </w:r>
      <w:r>
        <w:rPr>
          <w:rFonts w:ascii="Arial" w:hAnsi="Arial"/>
          <w:sz w:val="22"/>
          <w:szCs w:val="22"/>
        </w:rPr>
        <w:t xml:space="preserve"> in Figure 2.  Also, El Haroun et al. (2006) reported up to 33% higher body weight gain and a 43% decrease in FCR in tilapia (</w:t>
      </w:r>
      <w:r>
        <w:rPr>
          <w:rFonts w:ascii="Arial" w:hAnsi="Arial"/>
          <w:i/>
          <w:sz w:val="22"/>
        </w:rPr>
        <w:t>O. niloticus</w:t>
      </w:r>
      <w:r>
        <w:rPr>
          <w:rFonts w:ascii="Arial" w:hAnsi="Arial"/>
          <w:sz w:val="22"/>
          <w:szCs w:val="22"/>
        </w:rPr>
        <w:t>) fed Biogen</w:t>
      </w:r>
      <w:r>
        <w:rPr>
          <w:rFonts w:ascii="Symbol" w:hAnsi="Symbol" w:cs="Arial"/>
          <w:sz w:val="22"/>
          <w:szCs w:val="22"/>
        </w:rPr>
        <w:sym w:font="Symbol" w:char="F0E2"/>
      </w:r>
      <w:r>
        <w:rPr>
          <w:rFonts w:ascii="Arial" w:hAnsi="Arial"/>
          <w:sz w:val="22"/>
          <w:szCs w:val="22"/>
        </w:rPr>
        <w:t xml:space="preserve">, which is a commercial feed product containing B. </w:t>
      </w:r>
      <w:r w:rsidRPr="0060416A">
        <w:rPr>
          <w:rFonts w:ascii="Arial" w:hAnsi="Arial"/>
          <w:i/>
          <w:sz w:val="22"/>
        </w:rPr>
        <w:t>subtilis</w:t>
      </w:r>
      <w:r>
        <w:rPr>
          <w:rFonts w:ascii="Arial" w:hAnsi="Arial"/>
          <w:sz w:val="22"/>
          <w:szCs w:val="22"/>
        </w:rPr>
        <w:t>).</w:t>
      </w:r>
    </w:p>
    <w:p w14:paraId="2CC35551" w14:textId="77777777" w:rsidR="00083C7E" w:rsidRDefault="00083C7E">
      <w:pPr>
        <w:jc w:val="both"/>
        <w:rPr>
          <w:rFonts w:ascii="Arial" w:hAnsi="Arial"/>
          <w:sz w:val="22"/>
          <w:szCs w:val="22"/>
        </w:rPr>
      </w:pPr>
    </w:p>
    <w:p w14:paraId="5CACCAA2" w14:textId="77777777" w:rsidR="00083C7E" w:rsidRDefault="00047EFE">
      <w:pPr>
        <w:jc w:val="both"/>
        <w:rPr>
          <w:rFonts w:ascii="Arial" w:hAnsi="Arial" w:cs="Arial"/>
          <w:sz w:val="22"/>
          <w:szCs w:val="22"/>
        </w:rPr>
      </w:pPr>
      <w:r>
        <w:rPr>
          <w:rFonts w:ascii="Arial" w:hAnsi="Arial"/>
          <w:sz w:val="22"/>
          <w:szCs w:val="22"/>
        </w:rPr>
        <w:t xml:space="preserve">The hepatosomatic index (HSI) and </w:t>
      </w:r>
      <w:r>
        <w:rPr>
          <w:rFonts w:ascii="Arial" w:hAnsi="Arial"/>
          <w:sz w:val="22"/>
          <w:szCs w:val="22"/>
        </w:rPr>
        <w:t>condition factor (K) yielded no significant results; however, the digestive somatic index (DSI) differed significantly between treatments A and C and D, but not between treatments B and C, as shown in Figure 3.</w:t>
      </w:r>
      <w:r>
        <w:rPr>
          <w:rFonts w:ascii="Arial" w:hAnsi="Arial" w:cs="Arial"/>
          <w:sz w:val="22"/>
          <w:szCs w:val="22"/>
        </w:rPr>
        <w:t xml:space="preserve">  </w:t>
      </w:r>
    </w:p>
    <w:p w14:paraId="6BE68A42" w14:textId="77777777" w:rsidR="00083C7E" w:rsidRDefault="00047EFE">
      <w:pPr>
        <w:jc w:val="center"/>
        <w:rPr>
          <w:rFonts w:ascii="Arial" w:hAnsi="Arial" w:cs="Arial"/>
          <w:sz w:val="22"/>
          <w:szCs w:val="22"/>
        </w:rPr>
      </w:pPr>
      <w:r>
        <w:rPr>
          <w:noProof/>
        </w:rPr>
        <w:lastRenderedPageBreak/>
        <w:drawing>
          <wp:inline distT="0" distB="0" distL="114300" distR="114300" wp14:anchorId="226CEF9A" wp14:editId="4830AFB4">
            <wp:extent cx="5309235" cy="3118485"/>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52E4EA" w14:textId="77777777" w:rsidR="00083C7E" w:rsidRDefault="00083C7E">
      <w:pPr>
        <w:jc w:val="center"/>
        <w:rPr>
          <w:rFonts w:ascii="Arial" w:hAnsi="Arial" w:cs="Arial"/>
          <w:sz w:val="22"/>
          <w:szCs w:val="22"/>
        </w:rPr>
      </w:pPr>
    </w:p>
    <w:p w14:paraId="35249DE1" w14:textId="77777777" w:rsidR="00083C7E" w:rsidRDefault="00047EFE" w:rsidP="0060416A">
      <w:pPr>
        <w:jc w:val="center"/>
        <w:outlineLvl w:val="0"/>
        <w:rPr>
          <w:rFonts w:ascii="Arial" w:hAnsi="Arial" w:cs="Arial"/>
          <w:sz w:val="22"/>
          <w:szCs w:val="22"/>
        </w:rPr>
      </w:pPr>
      <w:r>
        <w:rPr>
          <w:rFonts w:ascii="Arial" w:hAnsi="Arial"/>
          <w:sz w:val="22"/>
          <w:szCs w:val="22"/>
        </w:rPr>
        <w:t>Figure 3. Value of HSI, DSI and Conditio</w:t>
      </w:r>
      <w:r>
        <w:rPr>
          <w:rFonts w:ascii="Arial" w:hAnsi="Arial"/>
          <w:sz w:val="22"/>
          <w:szCs w:val="22"/>
        </w:rPr>
        <w:t>n Factors in Tilapia During Research</w:t>
      </w:r>
    </w:p>
    <w:p w14:paraId="58C99568" w14:textId="77777777" w:rsidR="00083C7E" w:rsidRDefault="00083C7E">
      <w:pPr>
        <w:jc w:val="both"/>
        <w:rPr>
          <w:rFonts w:ascii="Arial" w:hAnsi="Arial" w:cs="Arial"/>
          <w:sz w:val="22"/>
          <w:szCs w:val="22"/>
        </w:rPr>
      </w:pPr>
    </w:p>
    <w:p w14:paraId="48759A5C" w14:textId="77777777" w:rsidR="00083C7E" w:rsidRDefault="00047EFE">
      <w:pPr>
        <w:jc w:val="both"/>
        <w:rPr>
          <w:rFonts w:ascii="Arial" w:hAnsi="Arial" w:cs="Arial"/>
          <w:sz w:val="22"/>
          <w:szCs w:val="22"/>
        </w:rPr>
      </w:pPr>
      <w:r>
        <w:rPr>
          <w:rFonts w:ascii="Arial" w:hAnsi="Arial"/>
          <w:sz w:val="22"/>
          <w:szCs w:val="22"/>
        </w:rPr>
        <w:t>The HSI and DSI values in treatment B indicate the number of energy reserves in tilapia, implying that tilapia growth will increase. Also, the DSI value revealed significantly different results when comparing treatment</w:t>
      </w:r>
      <w:r>
        <w:rPr>
          <w:rFonts w:ascii="Arial" w:hAnsi="Arial"/>
          <w:sz w:val="22"/>
          <w:szCs w:val="22"/>
        </w:rPr>
        <w:t xml:space="preserve"> A to treatments C and D. However, these HSI and DSI values were used as parameters to assess various metabolic activities in fish (Lumpan, 2020), the greater the body weight and length of the fish, the condition of the liver and digestive tract. The HSI a</w:t>
      </w:r>
      <w:r>
        <w:rPr>
          <w:rFonts w:ascii="Arial" w:hAnsi="Arial"/>
          <w:sz w:val="22"/>
          <w:szCs w:val="22"/>
        </w:rPr>
        <w:t>nd DSI values of fish indicate that digestion wi</w:t>
      </w:r>
      <w:r w:rsidR="0060416A">
        <w:rPr>
          <w:rFonts w:ascii="Arial" w:hAnsi="Arial"/>
          <w:sz w:val="22"/>
          <w:szCs w:val="22"/>
        </w:rPr>
        <w:t>ll improve (Mary A Opiyo et al.</w:t>
      </w:r>
      <w:r>
        <w:rPr>
          <w:rFonts w:ascii="Arial" w:hAnsi="Arial"/>
          <w:sz w:val="22"/>
          <w:szCs w:val="22"/>
        </w:rPr>
        <w:t xml:space="preserve"> 2019). This can be seen from the increase in WG and SGR values in the treatment-fed symbionts.</w:t>
      </w:r>
    </w:p>
    <w:p w14:paraId="62AFA49F" w14:textId="77777777" w:rsidR="00083C7E" w:rsidRDefault="00047EFE">
      <w:pPr>
        <w:jc w:val="both"/>
        <w:rPr>
          <w:rFonts w:ascii="Arial" w:hAnsi="Arial" w:cs="Arial"/>
          <w:sz w:val="22"/>
          <w:szCs w:val="22"/>
        </w:rPr>
      </w:pPr>
      <w:r>
        <w:rPr>
          <w:rFonts w:ascii="Arial" w:hAnsi="Arial"/>
          <w:sz w:val="22"/>
          <w:szCs w:val="22"/>
        </w:rPr>
        <w:t>Conversely, the condition factor was influenced by probiotic supplementation; ti</w:t>
      </w:r>
      <w:r>
        <w:rPr>
          <w:rFonts w:ascii="Arial" w:hAnsi="Arial"/>
          <w:sz w:val="22"/>
          <w:szCs w:val="22"/>
        </w:rPr>
        <w:t>lapia fed a symbiont diet in treatment B (artificial feed with the addition of B. subtilis 10</w:t>
      </w:r>
      <w:r>
        <w:rPr>
          <w:rFonts w:ascii="Arial" w:hAnsi="Arial"/>
          <w:sz w:val="22"/>
          <w:szCs w:val="22"/>
          <w:vertAlign w:val="superscript"/>
        </w:rPr>
        <w:t>5</w:t>
      </w:r>
      <w:r>
        <w:rPr>
          <w:rFonts w:ascii="Arial" w:hAnsi="Arial"/>
          <w:sz w:val="22"/>
          <w:szCs w:val="22"/>
        </w:rPr>
        <w:t xml:space="preserve"> CFU/mL and 1% banana flour) had significantly higher condition factors than the control but were not significantly different (P &gt; 0 0.05) from tilapia not treate</w:t>
      </w:r>
      <w:r>
        <w:rPr>
          <w:rFonts w:ascii="Arial" w:hAnsi="Arial"/>
          <w:sz w:val="22"/>
          <w:szCs w:val="22"/>
        </w:rPr>
        <w:t>d in treatment A. This is most likely due to the uniformity of the age of the tilapia kept. According to Enchina and Granado-Lorencio (1997), the difference in size or age of the fish is another factor that is thought to be the cause of fluctuations and ch</w:t>
      </w:r>
      <w:r>
        <w:rPr>
          <w:rFonts w:ascii="Arial" w:hAnsi="Arial"/>
          <w:sz w:val="22"/>
          <w:szCs w:val="22"/>
        </w:rPr>
        <w:t>anges in the value of the fish condition factor.</w:t>
      </w:r>
      <w:r>
        <w:rPr>
          <w:rFonts w:ascii="Arial" w:hAnsi="Arial" w:cs="Arial"/>
          <w:sz w:val="22"/>
          <w:szCs w:val="22"/>
        </w:rPr>
        <w:t xml:space="preserve"> </w:t>
      </w:r>
    </w:p>
    <w:p w14:paraId="074B4281" w14:textId="77777777" w:rsidR="00083C7E" w:rsidRDefault="00083C7E">
      <w:pPr>
        <w:jc w:val="both"/>
        <w:rPr>
          <w:rFonts w:ascii="Arial" w:hAnsi="Arial" w:cs="Arial"/>
          <w:sz w:val="22"/>
          <w:szCs w:val="22"/>
        </w:rPr>
      </w:pPr>
    </w:p>
    <w:p w14:paraId="6D430110" w14:textId="77777777" w:rsidR="00083C7E" w:rsidRDefault="00083C7E">
      <w:pPr>
        <w:rPr>
          <w:rFonts w:ascii="Arial" w:hAnsi="Arial" w:cs="Arial"/>
          <w:b/>
          <w:sz w:val="28"/>
        </w:rPr>
      </w:pPr>
    </w:p>
    <w:p w14:paraId="3E8CB77A" w14:textId="77777777" w:rsidR="00083C7E" w:rsidRDefault="00047EFE" w:rsidP="0060416A">
      <w:pPr>
        <w:outlineLvl w:val="0"/>
        <w:rPr>
          <w:rFonts w:ascii="Arial" w:hAnsi="Arial" w:cs="Arial"/>
          <w:b/>
          <w:sz w:val="22"/>
          <w:szCs w:val="22"/>
        </w:rPr>
      </w:pPr>
      <w:r>
        <w:rPr>
          <w:rFonts w:ascii="Arial" w:hAnsi="Arial"/>
          <w:b/>
          <w:sz w:val="22"/>
          <w:szCs w:val="22"/>
        </w:rPr>
        <w:t>CONCLUSIONS AND SUGGESTIONS</w:t>
      </w:r>
      <w:r>
        <w:rPr>
          <w:rFonts w:ascii="Arial" w:hAnsi="Arial" w:cs="Arial"/>
          <w:b/>
          <w:sz w:val="22"/>
          <w:szCs w:val="22"/>
        </w:rPr>
        <w:t xml:space="preserve"> </w:t>
      </w:r>
    </w:p>
    <w:p w14:paraId="3767961E" w14:textId="77777777" w:rsidR="00083C7E" w:rsidRDefault="00083C7E">
      <w:pPr>
        <w:rPr>
          <w:rFonts w:ascii="Arial" w:hAnsi="Arial" w:cs="Arial"/>
          <w:i/>
          <w:sz w:val="22"/>
          <w:szCs w:val="22"/>
        </w:rPr>
      </w:pPr>
    </w:p>
    <w:p w14:paraId="1BF6CBBA" w14:textId="77777777" w:rsidR="00083C7E" w:rsidRDefault="00047EFE" w:rsidP="0060416A">
      <w:pPr>
        <w:outlineLvl w:val="0"/>
        <w:rPr>
          <w:rFonts w:ascii="Arial" w:hAnsi="Arial" w:cs="Arial"/>
          <w:i/>
          <w:sz w:val="22"/>
          <w:szCs w:val="22"/>
        </w:rPr>
      </w:pPr>
      <w:r>
        <w:rPr>
          <w:rFonts w:ascii="Arial" w:hAnsi="Arial"/>
          <w:i/>
          <w:sz w:val="22"/>
          <w:szCs w:val="22"/>
        </w:rPr>
        <w:t>Conclusion</w:t>
      </w:r>
    </w:p>
    <w:p w14:paraId="65F25557" w14:textId="77777777" w:rsidR="00083C7E" w:rsidRDefault="00083C7E">
      <w:pPr>
        <w:rPr>
          <w:rFonts w:ascii="Arial" w:hAnsi="Arial" w:cs="Arial"/>
          <w:sz w:val="22"/>
          <w:szCs w:val="22"/>
        </w:rPr>
      </w:pPr>
    </w:p>
    <w:p w14:paraId="1CC0E258" w14:textId="77777777" w:rsidR="00083C7E" w:rsidRDefault="00047EFE">
      <w:pPr>
        <w:ind w:firstLine="720"/>
        <w:jc w:val="both"/>
        <w:rPr>
          <w:rFonts w:ascii="Arial" w:hAnsi="Arial" w:cs="Arial"/>
          <w:sz w:val="22"/>
          <w:szCs w:val="22"/>
        </w:rPr>
      </w:pPr>
      <w:r>
        <w:rPr>
          <w:rFonts w:ascii="Arial" w:hAnsi="Arial"/>
          <w:sz w:val="22"/>
          <w:szCs w:val="22"/>
        </w:rPr>
        <w:t xml:space="preserve">Symbiont feed, which is an artificial feed containing 105 CFU/mL of B. </w:t>
      </w:r>
      <w:r>
        <w:rPr>
          <w:rFonts w:ascii="Arial" w:hAnsi="Arial"/>
          <w:sz w:val="22"/>
        </w:rPr>
        <w:t>subtilis</w:t>
      </w:r>
      <w:r>
        <w:rPr>
          <w:rFonts w:ascii="Arial" w:hAnsi="Arial"/>
          <w:sz w:val="22"/>
          <w:szCs w:val="22"/>
        </w:rPr>
        <w:t xml:space="preserve"> and 1% banana flour yielded relatively better results, with SR, FCR, and WG values</w:t>
      </w:r>
      <w:r>
        <w:rPr>
          <w:rFonts w:ascii="Arial" w:hAnsi="Arial"/>
          <w:sz w:val="22"/>
          <w:szCs w:val="22"/>
        </w:rPr>
        <w:t> o</w:t>
      </w:r>
      <w:r w:rsidR="0060416A">
        <w:rPr>
          <w:rFonts w:ascii="Arial" w:hAnsi="Arial"/>
          <w:sz w:val="22"/>
          <w:szCs w:val="22"/>
        </w:rPr>
        <w:t>f 96.67%, 1.05, and 3.49 gr</w:t>
      </w:r>
      <w:bookmarkStart w:id="1" w:name="_GoBack"/>
      <w:bookmarkEnd w:id="1"/>
      <w:r>
        <w:rPr>
          <w:rFonts w:ascii="Arial" w:hAnsi="Arial"/>
          <w:sz w:val="22"/>
          <w:szCs w:val="22"/>
        </w:rPr>
        <w:t>.</w:t>
      </w:r>
    </w:p>
    <w:p w14:paraId="2EB8077C" w14:textId="77777777" w:rsidR="00083C7E" w:rsidRDefault="00083C7E">
      <w:pPr>
        <w:rPr>
          <w:rFonts w:ascii="Arial" w:hAnsi="Arial" w:cs="Arial"/>
          <w:sz w:val="22"/>
          <w:szCs w:val="22"/>
        </w:rPr>
      </w:pPr>
    </w:p>
    <w:p w14:paraId="6503FEC1" w14:textId="77777777" w:rsidR="00083C7E" w:rsidRDefault="00047EFE" w:rsidP="0060416A">
      <w:pPr>
        <w:outlineLvl w:val="0"/>
        <w:rPr>
          <w:rFonts w:ascii="Arial" w:hAnsi="Arial" w:cs="Arial"/>
          <w:i/>
          <w:sz w:val="22"/>
          <w:szCs w:val="22"/>
        </w:rPr>
      </w:pPr>
      <w:r>
        <w:rPr>
          <w:rFonts w:ascii="Arial" w:hAnsi="Arial"/>
          <w:i/>
          <w:sz w:val="22"/>
          <w:szCs w:val="22"/>
        </w:rPr>
        <w:t>Suggestion</w:t>
      </w:r>
      <w:r>
        <w:rPr>
          <w:rFonts w:ascii="Arial" w:hAnsi="Arial" w:cs="Arial"/>
          <w:i/>
          <w:sz w:val="22"/>
          <w:szCs w:val="22"/>
        </w:rPr>
        <w:t xml:space="preserve"> </w:t>
      </w:r>
    </w:p>
    <w:p w14:paraId="655122BB" w14:textId="77777777" w:rsidR="00083C7E" w:rsidRDefault="00047EFE">
      <w:pPr>
        <w:jc w:val="both"/>
        <w:rPr>
          <w:rFonts w:ascii="Arial" w:hAnsi="Arial" w:cs="Arial"/>
          <w:color w:val="000000"/>
          <w:sz w:val="22"/>
          <w:szCs w:val="22"/>
        </w:rPr>
      </w:pPr>
      <w:r>
        <w:rPr>
          <w:rFonts w:ascii="Arial" w:hAnsi="Arial" w:cs="Arial"/>
          <w:i/>
          <w:sz w:val="22"/>
          <w:szCs w:val="22"/>
        </w:rPr>
        <w:tab/>
      </w:r>
      <w:r>
        <w:rPr>
          <w:rFonts w:ascii="Arial" w:hAnsi="Arial"/>
          <w:sz w:val="22"/>
          <w:szCs w:val="22"/>
        </w:rPr>
        <w:t>Probiotics can be used in fish feed by incorporation into feed as nutrients to increase tilapia production.</w:t>
      </w:r>
    </w:p>
    <w:p w14:paraId="74AE39FF" w14:textId="77777777" w:rsidR="00083C7E" w:rsidRDefault="00083C7E">
      <w:pPr>
        <w:rPr>
          <w:rFonts w:ascii="Arial" w:hAnsi="Arial" w:cs="Arial"/>
          <w:sz w:val="22"/>
          <w:szCs w:val="22"/>
        </w:rPr>
      </w:pPr>
    </w:p>
    <w:p w14:paraId="5AF3D236" w14:textId="77777777" w:rsidR="00083C7E" w:rsidRDefault="00047EFE" w:rsidP="0060416A">
      <w:pPr>
        <w:outlineLvl w:val="0"/>
        <w:rPr>
          <w:rFonts w:ascii="Arial" w:hAnsi="Arial" w:cs="Arial"/>
          <w:b/>
          <w:sz w:val="22"/>
          <w:szCs w:val="22"/>
        </w:rPr>
      </w:pPr>
      <w:r>
        <w:rPr>
          <w:rFonts w:ascii="Arial" w:hAnsi="Arial"/>
          <w:b/>
          <w:sz w:val="22"/>
          <w:szCs w:val="22"/>
        </w:rPr>
        <w:t>Acknowledgment</w:t>
      </w:r>
      <w:r>
        <w:rPr>
          <w:rFonts w:ascii="Arial" w:hAnsi="Arial" w:cs="Arial"/>
          <w:b/>
          <w:sz w:val="22"/>
          <w:szCs w:val="22"/>
        </w:rPr>
        <w:t xml:space="preserve"> </w:t>
      </w:r>
    </w:p>
    <w:p w14:paraId="56D45515" w14:textId="77777777" w:rsidR="00083C7E" w:rsidRDefault="00083C7E">
      <w:pPr>
        <w:rPr>
          <w:rFonts w:ascii="Arial" w:hAnsi="Arial" w:cs="Arial"/>
          <w:b/>
          <w:sz w:val="22"/>
          <w:szCs w:val="22"/>
        </w:rPr>
      </w:pPr>
    </w:p>
    <w:p w14:paraId="2AD0DCF3" w14:textId="77777777" w:rsidR="00083C7E" w:rsidRDefault="00047EFE">
      <w:pPr>
        <w:jc w:val="both"/>
        <w:rPr>
          <w:rFonts w:ascii="Arial" w:hAnsi="Arial" w:cs="Arial"/>
          <w:sz w:val="22"/>
          <w:szCs w:val="22"/>
        </w:rPr>
      </w:pPr>
      <w:r>
        <w:rPr>
          <w:rFonts w:ascii="Arial" w:hAnsi="Arial"/>
          <w:sz w:val="22"/>
          <w:szCs w:val="22"/>
        </w:rPr>
        <w:t xml:space="preserve">The authors would like to thank the LP3M Muhammadiyah Makassar University, DPPU </w:t>
      </w:r>
      <w:r>
        <w:rPr>
          <w:rFonts w:ascii="Arial" w:hAnsi="Arial"/>
          <w:sz w:val="22"/>
          <w:szCs w:val="22"/>
        </w:rPr>
        <w:t xml:space="preserve">Hasanuddin Makassar, Head of the Research Center on Brackish Water Cultivation Fisheries </w:t>
      </w:r>
      <w:r>
        <w:rPr>
          <w:rFonts w:ascii="Arial" w:hAnsi="Arial"/>
          <w:sz w:val="22"/>
          <w:szCs w:val="22"/>
        </w:rPr>
        <w:lastRenderedPageBreak/>
        <w:t>and the Fisheries Extension for the laboratory facilities used in this study. The authors would also like to thank the Takalar Fisheries and Brackish Water Cultivation</w:t>
      </w:r>
      <w:r>
        <w:rPr>
          <w:rFonts w:ascii="Arial" w:hAnsi="Arial"/>
          <w:sz w:val="22"/>
          <w:szCs w:val="22"/>
        </w:rPr>
        <w:t xml:space="preserve"> Center (BPBAP) for the contribution of salted tilapia used in this study, as well as Universitas Hasanuddin and Sorong.</w:t>
      </w:r>
    </w:p>
    <w:p w14:paraId="29B91358" w14:textId="77777777" w:rsidR="00083C7E" w:rsidRDefault="00083C7E">
      <w:pPr>
        <w:jc w:val="both"/>
        <w:rPr>
          <w:rFonts w:ascii="Arial" w:hAnsi="Arial" w:cs="Arial"/>
          <w:sz w:val="22"/>
          <w:szCs w:val="22"/>
        </w:rPr>
      </w:pPr>
    </w:p>
    <w:p w14:paraId="3C27F23B" w14:textId="77777777" w:rsidR="00083C7E" w:rsidRDefault="00083C7E">
      <w:pPr>
        <w:jc w:val="both"/>
        <w:rPr>
          <w:rFonts w:ascii="Arial" w:hAnsi="Arial" w:cs="Arial"/>
          <w:sz w:val="22"/>
          <w:szCs w:val="22"/>
        </w:rPr>
      </w:pPr>
    </w:p>
    <w:p w14:paraId="6384A469" w14:textId="77777777" w:rsidR="00083C7E" w:rsidRDefault="00047EFE" w:rsidP="0060416A">
      <w:pPr>
        <w:outlineLvl w:val="0"/>
        <w:rPr>
          <w:rFonts w:ascii="Arial" w:hAnsi="Arial" w:cs="Arial"/>
          <w:b/>
        </w:rPr>
      </w:pPr>
      <w:r>
        <w:rPr>
          <w:rFonts w:ascii="Arial" w:hAnsi="Arial"/>
          <w:b/>
        </w:rPr>
        <w:t>BIBLIOGRAPHY</w:t>
      </w:r>
    </w:p>
    <w:p w14:paraId="72A44E52" w14:textId="77777777" w:rsidR="00083C7E" w:rsidRDefault="00047EFE">
      <w:pPr>
        <w:jc w:val="both"/>
        <w:rPr>
          <w:rFonts w:ascii="MS Mincho" w:eastAsia="MS Mincho" w:hAnsi="MS Mincho" w:cs="MS Mincho"/>
          <w:sz w:val="22"/>
        </w:rPr>
      </w:pPr>
      <w:r>
        <w:rPr>
          <w:rFonts w:ascii="MS Mincho" w:eastAsia="MS Mincho" w:hAnsi="MS Mincho" w:cs="MS Mincho"/>
          <w:sz w:val="22"/>
        </w:rPr>
        <w:t> </w:t>
      </w:r>
    </w:p>
    <w:p w14:paraId="245D9B7F" w14:textId="77777777" w:rsidR="00083C7E" w:rsidRDefault="00047EFE">
      <w:pPr>
        <w:pStyle w:val="ListParagraph"/>
        <w:numPr>
          <w:ilvl w:val="0"/>
          <w:numId w:val="1"/>
        </w:numPr>
        <w:jc w:val="both"/>
        <w:rPr>
          <w:rFonts w:ascii="Arial" w:hAnsi="Arial" w:cs="Arial"/>
          <w:sz w:val="22"/>
        </w:rPr>
      </w:pPr>
      <w:r>
        <w:rPr>
          <w:rFonts w:ascii="Arial" w:hAnsi="Arial" w:cs="Arial"/>
          <w:sz w:val="22"/>
        </w:rPr>
        <w:t xml:space="preserve">Abareethan M. &amp; Amsath A. (2015). Characterization and evaluation of probiotic fish feed. </w:t>
      </w:r>
      <w:r>
        <w:rPr>
          <w:rFonts w:ascii="Arial" w:hAnsi="Arial" w:cs="Arial"/>
          <w:i/>
          <w:sz w:val="22"/>
        </w:rPr>
        <w:t xml:space="preserve">International Journal of </w:t>
      </w:r>
      <w:r>
        <w:rPr>
          <w:rFonts w:ascii="Arial" w:hAnsi="Arial" w:cs="Arial"/>
          <w:i/>
          <w:sz w:val="22"/>
        </w:rPr>
        <w:t>Pure and Applied Zoology</w:t>
      </w:r>
      <w:r>
        <w:rPr>
          <w:rFonts w:ascii="Arial" w:hAnsi="Arial" w:cs="Arial"/>
          <w:sz w:val="22"/>
        </w:rPr>
        <w:t xml:space="preserve">, 3(2): 148- 153. </w:t>
      </w:r>
    </w:p>
    <w:p w14:paraId="36232CC8" w14:textId="77777777" w:rsidR="00083C7E" w:rsidRDefault="00047EFE">
      <w:pPr>
        <w:pStyle w:val="ListParagraph"/>
        <w:numPr>
          <w:ilvl w:val="0"/>
          <w:numId w:val="1"/>
        </w:numPr>
        <w:jc w:val="both"/>
        <w:rPr>
          <w:rFonts w:ascii="Arial" w:hAnsi="Arial" w:cs="Arial"/>
          <w:sz w:val="22"/>
        </w:rPr>
      </w:pPr>
      <w:r>
        <w:rPr>
          <w:rFonts w:ascii="Arial" w:hAnsi="Arial" w:cs="Arial"/>
          <w:sz w:val="22"/>
        </w:rPr>
        <w:t xml:space="preserve">Aly, S. M., Ahmed, Y. A. G., Ghareeb, A. A. A., &amp; Mohamed, M. F. (2008). Studies on </w:t>
      </w:r>
      <w:r>
        <w:rPr>
          <w:rFonts w:ascii="Arial" w:hAnsi="Arial" w:cs="Arial"/>
          <w:i/>
          <w:sz w:val="22"/>
        </w:rPr>
        <w:t>Bacillus subtilis</w:t>
      </w:r>
      <w:r>
        <w:rPr>
          <w:rFonts w:ascii="Arial" w:hAnsi="Arial" w:cs="Arial"/>
          <w:sz w:val="22"/>
        </w:rPr>
        <w:t xml:space="preserve"> and Lactobacillus acidophilus, as potential probiotics, on the immune response and resistance of Tilapia niloti</w:t>
      </w:r>
      <w:r>
        <w:rPr>
          <w:rFonts w:ascii="Arial" w:hAnsi="Arial" w:cs="Arial"/>
          <w:sz w:val="22"/>
        </w:rPr>
        <w:t>ca (</w:t>
      </w:r>
      <w:r>
        <w:rPr>
          <w:rFonts w:ascii="Arial" w:hAnsi="Arial" w:cs="Arial"/>
          <w:i/>
          <w:sz w:val="22"/>
        </w:rPr>
        <w:t>Oreochromis niloticus</w:t>
      </w:r>
      <w:r>
        <w:rPr>
          <w:rFonts w:ascii="Arial" w:hAnsi="Arial" w:cs="Arial"/>
          <w:sz w:val="22"/>
        </w:rPr>
        <w:t xml:space="preserve">) to challenge infections. </w:t>
      </w:r>
      <w:r>
        <w:rPr>
          <w:rFonts w:ascii="Arial" w:hAnsi="Arial" w:cs="Arial"/>
          <w:i/>
          <w:sz w:val="22"/>
        </w:rPr>
        <w:t>Fish &amp; shellfish immunology</w:t>
      </w:r>
      <w:r>
        <w:rPr>
          <w:rFonts w:ascii="Arial" w:hAnsi="Arial" w:cs="Arial"/>
          <w:sz w:val="22"/>
        </w:rPr>
        <w:t>. 25 (12) :128–136.doi:</w:t>
      </w:r>
      <w:hyperlink r:id="rId13" w:history="1">
        <w:r>
          <w:rPr>
            <w:rStyle w:val="Hyperlink"/>
            <w:rFonts w:ascii="Arial" w:hAnsi="Arial" w:cs="Arial"/>
            <w:sz w:val="22"/>
          </w:rPr>
          <w:t>10.1016/j.fsi.2008.03.013</w:t>
        </w:r>
      </w:hyperlink>
    </w:p>
    <w:p w14:paraId="7E79BFBB" w14:textId="77777777" w:rsidR="00083C7E" w:rsidRDefault="00047EFE">
      <w:pPr>
        <w:pStyle w:val="ListParagraph"/>
        <w:numPr>
          <w:ilvl w:val="0"/>
          <w:numId w:val="1"/>
        </w:numPr>
        <w:jc w:val="both"/>
        <w:rPr>
          <w:rFonts w:ascii="Arial" w:hAnsi="Arial" w:cs="Arial"/>
          <w:sz w:val="22"/>
        </w:rPr>
      </w:pPr>
      <w:r>
        <w:rPr>
          <w:rFonts w:ascii="Arial" w:hAnsi="Arial" w:cs="Arial"/>
          <w:sz w:val="22"/>
        </w:rPr>
        <w:t>Bomba, R. Nemcová, S. Gancarcíková, R. Herich, P.</w:t>
      </w:r>
      <w:r>
        <w:rPr>
          <w:rFonts w:ascii="Arial" w:hAnsi="Arial" w:cs="Arial"/>
          <w:sz w:val="22"/>
        </w:rPr>
        <w:t xml:space="preserve"> Guba, D. Mudronová. (2002) Improvement of the probiotic effect of micro-organisms by their combination with maltodextrins, fructooligosaccharides and polyunsaturated fatty acids, Br. J. Nutr. 88 S95. doi:</w:t>
      </w:r>
      <w:hyperlink r:id="rId14" w:history="1">
        <w:r>
          <w:rPr>
            <w:rStyle w:val="Hyperlink"/>
            <w:rFonts w:ascii="Arial" w:hAnsi="Arial" w:cs="Arial"/>
            <w:sz w:val="22"/>
          </w:rPr>
          <w:t>10.1079/BJN2002634</w:t>
        </w:r>
      </w:hyperlink>
      <w:r>
        <w:rPr>
          <w:rFonts w:ascii="Arial" w:hAnsi="Arial" w:cs="Arial"/>
          <w:sz w:val="22"/>
        </w:rPr>
        <w:t>.</w:t>
      </w:r>
    </w:p>
    <w:p w14:paraId="1FBD694A" w14:textId="77777777" w:rsidR="00083C7E" w:rsidRDefault="00047EFE">
      <w:pPr>
        <w:pStyle w:val="ListParagraph"/>
        <w:numPr>
          <w:ilvl w:val="0"/>
          <w:numId w:val="1"/>
        </w:numPr>
        <w:jc w:val="both"/>
        <w:rPr>
          <w:rFonts w:ascii="Arial" w:hAnsi="Arial" w:cs="Arial"/>
          <w:sz w:val="22"/>
        </w:rPr>
      </w:pPr>
      <w:r>
        <w:rPr>
          <w:rFonts w:ascii="Arial" w:hAnsi="Arial" w:cs="Arial"/>
          <w:sz w:val="22"/>
        </w:rPr>
        <w:t xml:space="preserve">Cerezuela R, Meseguer J, dan Esteban MA. 2011. Current Knowledge in Synbiotic Use for Fish Aquaculture: A Review. </w:t>
      </w:r>
      <w:r>
        <w:rPr>
          <w:rFonts w:ascii="Arial" w:hAnsi="Arial" w:cs="Arial"/>
          <w:i/>
          <w:sz w:val="22"/>
        </w:rPr>
        <w:t>J Aquac Res Development</w:t>
      </w:r>
      <w:r>
        <w:rPr>
          <w:rFonts w:ascii="Arial" w:hAnsi="Arial" w:cs="Arial"/>
          <w:sz w:val="22"/>
        </w:rPr>
        <w:t xml:space="preserve"> S1:008. </w:t>
      </w:r>
    </w:p>
    <w:p w14:paraId="407CF534" w14:textId="77777777" w:rsidR="00083C7E" w:rsidRDefault="00047EFE">
      <w:pPr>
        <w:pStyle w:val="ListParagraph"/>
        <w:jc w:val="both"/>
        <w:rPr>
          <w:rFonts w:ascii="Arial" w:hAnsi="Arial" w:cs="Arial"/>
          <w:sz w:val="22"/>
        </w:rPr>
      </w:pPr>
      <w:r>
        <w:rPr>
          <w:rFonts w:ascii="Arial" w:hAnsi="Arial" w:cs="Arial"/>
          <w:sz w:val="22"/>
        </w:rPr>
        <w:t>doi:</w:t>
      </w:r>
      <w:hyperlink w:history="1">
        <w:r>
          <w:rPr>
            <w:rStyle w:val="Hyperlink"/>
            <w:rFonts w:ascii="Arial" w:hAnsi="Arial" w:cs="Arial"/>
            <w:color w:val="00B0F0"/>
            <w:sz w:val="22"/>
          </w:rPr>
          <w:t>10.4172/2155-9546.S1008</w:t>
        </w:r>
      </w:hyperlink>
      <w:r>
        <w:rPr>
          <w:rFonts w:ascii="Arial" w:hAnsi="Arial" w:cs="Arial"/>
          <w:color w:val="00B0F0"/>
          <w:sz w:val="22"/>
        </w:rPr>
        <w:t xml:space="preserve">. </w:t>
      </w:r>
    </w:p>
    <w:p w14:paraId="14D7A402" w14:textId="77777777" w:rsidR="00083C7E" w:rsidRDefault="00047EFE">
      <w:pPr>
        <w:pStyle w:val="ListParagraph"/>
        <w:numPr>
          <w:ilvl w:val="0"/>
          <w:numId w:val="1"/>
        </w:numPr>
        <w:spacing w:before="120"/>
        <w:rPr>
          <w:rFonts w:ascii="Arial" w:hAnsi="Arial" w:cs="Arial"/>
          <w:sz w:val="22"/>
        </w:rPr>
      </w:pPr>
      <w:r>
        <w:rPr>
          <w:rFonts w:ascii="Arial" w:hAnsi="Arial" w:cs="Arial"/>
          <w:sz w:val="22"/>
        </w:rPr>
        <w:t xml:space="preserve">Effendie MI. (1979). </w:t>
      </w:r>
      <w:r>
        <w:rPr>
          <w:rFonts w:ascii="Arial" w:hAnsi="Arial" w:cs="Arial"/>
          <w:i/>
          <w:sz w:val="22"/>
        </w:rPr>
        <w:t>Met</w:t>
      </w:r>
      <w:r>
        <w:rPr>
          <w:rFonts w:ascii="Arial" w:hAnsi="Arial" w:cs="Arial"/>
          <w:i/>
          <w:sz w:val="22"/>
        </w:rPr>
        <w:t>ode Biologi Perikanan</w:t>
      </w:r>
      <w:r>
        <w:rPr>
          <w:rFonts w:ascii="Arial" w:hAnsi="Arial" w:cs="Arial"/>
          <w:sz w:val="22"/>
        </w:rPr>
        <w:t>. Yayasan Dewi Sri Bogor, Bogor.</w:t>
      </w:r>
    </w:p>
    <w:p w14:paraId="2FBBAB95" w14:textId="77777777" w:rsidR="00083C7E" w:rsidRDefault="00047EFE">
      <w:pPr>
        <w:pStyle w:val="ListParagraph"/>
        <w:numPr>
          <w:ilvl w:val="0"/>
          <w:numId w:val="1"/>
        </w:numPr>
        <w:jc w:val="both"/>
        <w:rPr>
          <w:rFonts w:ascii="Arial" w:hAnsi="Arial" w:cs="Arial"/>
          <w:sz w:val="22"/>
        </w:rPr>
      </w:pPr>
      <w:r>
        <w:rPr>
          <w:rFonts w:ascii="Arial" w:hAnsi="Arial" w:cs="Arial"/>
          <w:sz w:val="22"/>
        </w:rPr>
        <w:t xml:space="preserve">E.R. El-Haroun, A.M.A.S. Goda, M.A. Kabir Chowdhury. (2006). Effect of dietary probiotic biogen® supplementation as a growth promoter on growth performance and feed utilization of Nile tilapia, </w:t>
      </w:r>
      <w:r>
        <w:rPr>
          <w:rFonts w:ascii="Arial" w:hAnsi="Arial" w:cs="Arial"/>
          <w:i/>
          <w:sz w:val="22"/>
        </w:rPr>
        <w:t>Oreochro</w:t>
      </w:r>
      <w:r>
        <w:rPr>
          <w:rFonts w:ascii="Arial" w:hAnsi="Arial" w:cs="Arial"/>
          <w:i/>
          <w:sz w:val="22"/>
        </w:rPr>
        <w:t>mis niloticus</w:t>
      </w:r>
      <w:r>
        <w:rPr>
          <w:rFonts w:ascii="Arial" w:hAnsi="Arial" w:cs="Arial"/>
          <w:sz w:val="22"/>
        </w:rPr>
        <w:t xml:space="preserve"> (L.). </w:t>
      </w:r>
      <w:r>
        <w:rPr>
          <w:rFonts w:ascii="Arial" w:hAnsi="Arial" w:cs="Arial"/>
          <w:i/>
          <w:sz w:val="22"/>
        </w:rPr>
        <w:t>Aquac. Res</w:t>
      </w:r>
      <w:r>
        <w:rPr>
          <w:rFonts w:ascii="Arial" w:hAnsi="Arial" w:cs="Arial"/>
          <w:sz w:val="22"/>
        </w:rPr>
        <w:t xml:space="preserve">. 37:1473–1480, </w:t>
      </w:r>
    </w:p>
    <w:p w14:paraId="4DB23836" w14:textId="77777777" w:rsidR="00083C7E" w:rsidRDefault="00047EFE">
      <w:pPr>
        <w:pStyle w:val="ListParagraph"/>
        <w:jc w:val="both"/>
        <w:rPr>
          <w:rFonts w:ascii="Arial" w:hAnsi="Arial" w:cs="Arial"/>
          <w:sz w:val="22"/>
        </w:rPr>
      </w:pPr>
      <w:r>
        <w:rPr>
          <w:rFonts w:ascii="Arial" w:hAnsi="Arial" w:cs="Arial"/>
          <w:sz w:val="22"/>
        </w:rPr>
        <w:t>doi:</w:t>
      </w:r>
      <w:hyperlink r:id="rId15" w:history="1">
        <w:r>
          <w:rPr>
            <w:rStyle w:val="Hyperlink"/>
            <w:rFonts w:ascii="Arial" w:hAnsi="Arial" w:cs="Arial"/>
            <w:sz w:val="22"/>
          </w:rPr>
          <w:t>10.1111/j.1365-2109.2006.01584.x</w:t>
        </w:r>
      </w:hyperlink>
      <w:r>
        <w:rPr>
          <w:rFonts w:ascii="Arial" w:hAnsi="Arial" w:cs="Arial"/>
          <w:sz w:val="22"/>
        </w:rPr>
        <w:t>.</w:t>
      </w:r>
    </w:p>
    <w:p w14:paraId="49235B97" w14:textId="77777777" w:rsidR="00083C7E" w:rsidRDefault="00047EFE">
      <w:pPr>
        <w:pStyle w:val="ListParagraph"/>
        <w:numPr>
          <w:ilvl w:val="0"/>
          <w:numId w:val="1"/>
        </w:numPr>
        <w:jc w:val="both"/>
        <w:rPr>
          <w:rFonts w:ascii="Arial" w:hAnsi="Arial" w:cs="Arial"/>
          <w:sz w:val="22"/>
        </w:rPr>
      </w:pPr>
      <w:r>
        <w:rPr>
          <w:rFonts w:ascii="Arial" w:hAnsi="Arial" w:cs="Arial"/>
          <w:sz w:val="22"/>
        </w:rPr>
        <w:t>Encina, L., and C. Granado-Lorencio. (1997). Seasonal Cha</w:t>
      </w:r>
      <w:r>
        <w:rPr>
          <w:rFonts w:ascii="Arial" w:hAnsi="Arial" w:cs="Arial"/>
          <w:sz w:val="22"/>
        </w:rPr>
        <w:t xml:space="preserve">nges in Condition, Nutrition, Gonad Maturation and Energy Content in Barbel, Barbus sclateri, Inhabiting A Fluctuating River. </w:t>
      </w:r>
      <w:r>
        <w:rPr>
          <w:rFonts w:ascii="Arial" w:hAnsi="Arial" w:cs="Arial"/>
          <w:i/>
          <w:sz w:val="22"/>
        </w:rPr>
        <w:t>Environmental Biology of Fishes</w:t>
      </w:r>
      <w:r>
        <w:rPr>
          <w:rFonts w:ascii="Arial" w:hAnsi="Arial" w:cs="Arial"/>
          <w:sz w:val="22"/>
        </w:rPr>
        <w:t>. 50: 75–84.</w:t>
      </w:r>
    </w:p>
    <w:p w14:paraId="6C7D7FE0" w14:textId="77777777" w:rsidR="00083C7E" w:rsidRDefault="00047EFE">
      <w:pPr>
        <w:pStyle w:val="ListParagraph"/>
        <w:numPr>
          <w:ilvl w:val="0"/>
          <w:numId w:val="1"/>
        </w:numPr>
        <w:spacing w:before="120"/>
        <w:rPr>
          <w:rStyle w:val="Hyperlink"/>
          <w:rFonts w:ascii="Arial" w:hAnsi="Arial"/>
          <w:sz w:val="22"/>
        </w:rPr>
      </w:pPr>
      <w:r>
        <w:rPr>
          <w:rFonts w:ascii="Arial" w:hAnsi="Arial" w:cs="Arial"/>
          <w:sz w:val="22"/>
          <w:szCs w:val="22"/>
        </w:rPr>
        <w:fldChar w:fldCharType="begin"/>
      </w:r>
      <w:r>
        <w:rPr>
          <w:rFonts w:ascii="Arial" w:hAnsi="Arial" w:cs="Arial"/>
          <w:sz w:val="22"/>
          <w:szCs w:val="22"/>
        </w:rPr>
        <w:instrText>HYPERLINK "C:\\Users\\UNS-Ethanol\\Downloads\\FAO, The State of World Fisheries and Aq</w:instrText>
      </w:r>
      <w:r>
        <w:rPr>
          <w:rFonts w:ascii="Arial" w:hAnsi="Arial" w:cs="Arial"/>
          <w:sz w:val="22"/>
          <w:szCs w:val="22"/>
        </w:rPr>
        <w:instrText>uaculture 2018 – Meeting the Sustainable Development Goals, FAO, Fisheries Department, Rome, Italy, 2018"</w:instrText>
      </w:r>
      <w:r>
        <w:rPr>
          <w:rFonts w:ascii="Arial" w:hAnsi="Arial" w:cs="Arial"/>
          <w:sz w:val="22"/>
          <w:szCs w:val="22"/>
        </w:rPr>
        <w:fldChar w:fldCharType="separate"/>
      </w:r>
      <w:r>
        <w:rPr>
          <w:rStyle w:val="Hyperlink"/>
          <w:rFonts w:ascii="Arial" w:hAnsi="Arial"/>
          <w:sz w:val="22"/>
        </w:rPr>
        <w:t>FAO, The State of World Fisheries and Aquaculture 2018 – Meeting the Sustainable Development Goals, FAO, Fisheries Department, Rome, Italy, 2018.</w:t>
      </w:r>
    </w:p>
    <w:p w14:paraId="259FB448" w14:textId="77777777" w:rsidR="00083C7E" w:rsidRDefault="00047EFE">
      <w:pPr>
        <w:pStyle w:val="ListParagraph"/>
        <w:numPr>
          <w:ilvl w:val="0"/>
          <w:numId w:val="1"/>
        </w:numPr>
        <w:spacing w:before="120"/>
        <w:jc w:val="both"/>
        <w:rPr>
          <w:rFonts w:ascii="Arial" w:hAnsi="Arial" w:cs="Arial"/>
          <w:sz w:val="22"/>
          <w:szCs w:val="22"/>
        </w:rPr>
      </w:pPr>
      <w:r>
        <w:rPr>
          <w:rFonts w:ascii="Arial" w:hAnsi="Arial" w:cs="Arial"/>
          <w:sz w:val="22"/>
          <w:szCs w:val="22"/>
        </w:rPr>
        <w:fldChar w:fldCharType="end"/>
      </w:r>
      <w:r>
        <w:rPr>
          <w:rFonts w:ascii="Arial" w:hAnsi="Arial" w:cs="Arial"/>
          <w:sz w:val="22"/>
          <w:szCs w:val="22"/>
        </w:rPr>
        <w:t xml:space="preserve">Gatesoupe, F.J. (1999). The use of probiotics in aquaculture. </w:t>
      </w:r>
      <w:r>
        <w:rPr>
          <w:rFonts w:ascii="Arial" w:hAnsi="Arial" w:cs="Arial"/>
          <w:i/>
          <w:sz w:val="22"/>
          <w:szCs w:val="22"/>
        </w:rPr>
        <w:t>Aquaculture</w:t>
      </w:r>
      <w:r>
        <w:rPr>
          <w:rFonts w:ascii="Arial" w:hAnsi="Arial" w:cs="Arial"/>
          <w:sz w:val="22"/>
          <w:szCs w:val="22"/>
        </w:rPr>
        <w:t xml:space="preserve">. 180 : 147–165.doi: </w:t>
      </w:r>
      <w:hyperlink r:id="rId16" w:history="1">
        <w:r>
          <w:rPr>
            <w:rStyle w:val="Hyperlink"/>
            <w:rFonts w:ascii="Arial" w:hAnsi="Arial" w:cs="Arial"/>
            <w:sz w:val="22"/>
            <w:szCs w:val="22"/>
          </w:rPr>
          <w:t>https://doi.org/10.1016/S0044-8486(99)00187–8</w:t>
        </w:r>
      </w:hyperlink>
    </w:p>
    <w:p w14:paraId="7AD3E407" w14:textId="77777777" w:rsidR="00083C7E" w:rsidRDefault="00047EFE">
      <w:pPr>
        <w:pStyle w:val="ListParagraph"/>
        <w:numPr>
          <w:ilvl w:val="0"/>
          <w:numId w:val="1"/>
        </w:numPr>
        <w:jc w:val="both"/>
        <w:rPr>
          <w:rFonts w:ascii="Arial" w:hAnsi="Arial" w:cs="Arial"/>
          <w:sz w:val="22"/>
          <w:szCs w:val="22"/>
        </w:rPr>
      </w:pPr>
      <w:r>
        <w:rPr>
          <w:rFonts w:ascii="Arial" w:hAnsi="Arial" w:cs="Arial"/>
          <w:sz w:val="22"/>
          <w:szCs w:val="22"/>
        </w:rPr>
        <w:t>Geraylou, ZC. Souffreau ER, L.D. Meester, C.M. Courtin</w:t>
      </w:r>
      <w:r>
        <w:rPr>
          <w:rFonts w:ascii="Arial" w:hAnsi="Arial" w:cs="Arial"/>
          <w:sz w:val="22"/>
          <w:szCs w:val="22"/>
        </w:rPr>
        <w:t xml:space="preserve">, J.A. Delcour, J. Buyse, And F. Ollevier. (2013). Effects Of Arabinoxylan–Oligosaccarides (A×os) and Endogenous Probiotic On The Growth Performance, Non–Specific Immunity, And Gut Microbiota On Juvenile Siberian Sturgeon (Acipencer Baerii). </w:t>
      </w:r>
      <w:r>
        <w:rPr>
          <w:rFonts w:ascii="Arial" w:hAnsi="Arial" w:cs="Arial"/>
          <w:bCs/>
          <w:i/>
          <w:iCs/>
          <w:sz w:val="22"/>
          <w:szCs w:val="22"/>
        </w:rPr>
        <w:t>J Fish Shellfi</w:t>
      </w:r>
      <w:r>
        <w:rPr>
          <w:rFonts w:ascii="Arial" w:hAnsi="Arial" w:cs="Arial"/>
          <w:bCs/>
          <w:i/>
          <w:iCs/>
          <w:sz w:val="22"/>
          <w:szCs w:val="22"/>
        </w:rPr>
        <w:t>sh Immunol</w:t>
      </w:r>
      <w:r>
        <w:rPr>
          <w:rFonts w:ascii="Arial" w:hAnsi="Arial" w:cs="Arial"/>
          <w:sz w:val="22"/>
          <w:szCs w:val="22"/>
        </w:rPr>
        <w:t xml:space="preserve">. 35(11):766–775. doi: </w:t>
      </w:r>
      <w:hyperlink r:id="rId17" w:history="1">
        <w:r>
          <w:rPr>
            <w:rStyle w:val="Hyperlink"/>
            <w:rFonts w:ascii="Arial" w:hAnsi="Arial" w:cs="Arial"/>
            <w:sz w:val="22"/>
            <w:szCs w:val="22"/>
          </w:rPr>
          <w:t>10.1016/j.fsi.2013.06.014</w:t>
        </w:r>
      </w:hyperlink>
    </w:p>
    <w:p w14:paraId="2DDFD163" w14:textId="77777777" w:rsidR="00083C7E" w:rsidRDefault="00047EFE">
      <w:pPr>
        <w:pStyle w:val="ListParagraph"/>
        <w:numPr>
          <w:ilvl w:val="0"/>
          <w:numId w:val="1"/>
        </w:numPr>
        <w:spacing w:before="120"/>
        <w:jc w:val="both"/>
        <w:rPr>
          <w:rFonts w:ascii="Arial" w:eastAsia="MS Mincho" w:hAnsi="Arial" w:cs="Arial"/>
          <w:sz w:val="22"/>
        </w:rPr>
      </w:pPr>
      <w:r>
        <w:rPr>
          <w:rFonts w:ascii="Arial" w:eastAsia="MS Mincho" w:hAnsi="Arial" w:cs="Arial"/>
          <w:sz w:val="22"/>
        </w:rPr>
        <w:t>Han, B., Long, W., He, J., Liu, Y., Si, Y., Tian, L. (2015). Effects of dietary Bacillus licheniformis on growth perfo</w:t>
      </w:r>
      <w:r>
        <w:rPr>
          <w:rFonts w:ascii="Arial" w:eastAsia="MS Mincho" w:hAnsi="Arial" w:cs="Arial"/>
          <w:sz w:val="22"/>
        </w:rPr>
        <w:t>rmance, immunological parameters, intestinal morphology and resistance of juvenile Nile tilapia (</w:t>
      </w:r>
      <w:r>
        <w:rPr>
          <w:rFonts w:ascii="Arial" w:eastAsia="MS Mincho" w:hAnsi="Arial" w:cs="Arial"/>
          <w:i/>
          <w:sz w:val="22"/>
        </w:rPr>
        <w:t>Oreochromis niloticus</w:t>
      </w:r>
      <w:r>
        <w:rPr>
          <w:rFonts w:ascii="Arial" w:eastAsia="MS Mincho" w:hAnsi="Arial" w:cs="Arial"/>
          <w:sz w:val="22"/>
        </w:rPr>
        <w:t xml:space="preserve">) to challenge infections. </w:t>
      </w:r>
      <w:r>
        <w:rPr>
          <w:rFonts w:ascii="Arial" w:eastAsia="MS Mincho" w:hAnsi="Arial" w:cs="Arial"/>
          <w:i/>
          <w:sz w:val="22"/>
        </w:rPr>
        <w:t>Fish Shellfish Immunol</w:t>
      </w:r>
      <w:r>
        <w:rPr>
          <w:rFonts w:ascii="Arial" w:eastAsia="MS Mincho" w:hAnsi="Arial" w:cs="Arial"/>
          <w:sz w:val="22"/>
        </w:rPr>
        <w:t xml:space="preserve">. 46: 225–231. </w:t>
      </w:r>
      <w:hyperlink r:id="rId18" w:history="1">
        <w:r>
          <w:rPr>
            <w:rStyle w:val="Hyperlink"/>
            <w:rFonts w:ascii="Arial" w:eastAsia="MS Mincho" w:hAnsi="Arial" w:cs="Arial"/>
            <w:sz w:val="22"/>
          </w:rPr>
          <w:t>htt</w:t>
        </w:r>
        <w:r>
          <w:rPr>
            <w:rStyle w:val="Hyperlink"/>
            <w:rFonts w:ascii="Arial" w:eastAsia="MS Mincho" w:hAnsi="Arial" w:cs="Arial"/>
            <w:sz w:val="22"/>
          </w:rPr>
          <w:t>ps://doi.org/https://doi.org/10.1016/j.fsi.2015.06.018</w:t>
        </w:r>
      </w:hyperlink>
      <w:r>
        <w:rPr>
          <w:rFonts w:ascii="Arial" w:eastAsia="MS Mincho" w:hAnsi="Arial" w:cs="Arial"/>
          <w:sz w:val="22"/>
        </w:rPr>
        <w:t>.</w:t>
      </w:r>
    </w:p>
    <w:p w14:paraId="7E708BB7"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 xml:space="preserve">Huisman EA. 1987. </w:t>
      </w:r>
      <w:r>
        <w:rPr>
          <w:rFonts w:ascii="Arial" w:hAnsi="Arial" w:cs="Arial"/>
          <w:i/>
          <w:sz w:val="22"/>
        </w:rPr>
        <w:t>Principles of fish production</w:t>
      </w:r>
      <w:r>
        <w:rPr>
          <w:rFonts w:ascii="Arial" w:hAnsi="Arial" w:cs="Arial"/>
          <w:sz w:val="22"/>
        </w:rPr>
        <w:t>. Department of Fish Culture and Fisheries, Wageningen Agriculture University.Wageningen. Netherland. 170p.</w:t>
      </w:r>
    </w:p>
    <w:p w14:paraId="3EACF9FF" w14:textId="77777777" w:rsidR="00083C7E" w:rsidRDefault="00047EFE">
      <w:pPr>
        <w:pStyle w:val="ListParagraph"/>
        <w:numPr>
          <w:ilvl w:val="0"/>
          <w:numId w:val="1"/>
        </w:numPr>
        <w:spacing w:before="120"/>
        <w:jc w:val="both"/>
        <w:rPr>
          <w:rStyle w:val="Hyperlink"/>
          <w:rFonts w:ascii="Arial" w:eastAsia="MS Mincho" w:hAnsi="Arial" w:cs="Arial"/>
          <w:sz w:val="22"/>
        </w:rPr>
      </w:pPr>
      <w:r>
        <w:rPr>
          <w:rFonts w:ascii="Arial" w:eastAsia="MS Mincho" w:hAnsi="Arial" w:cs="Arial"/>
          <w:sz w:val="22"/>
        </w:rPr>
        <w:t xml:space="preserve">Hossain, M, Haylor GS, Beveridge MCM. (2001). Effect Of Feeding Time And Frequency On The Growth And Feed Utilization Of African Catfish Clarias Gariepinus (Burchell 1822) Fingerlings. </w:t>
      </w:r>
      <w:r>
        <w:rPr>
          <w:rFonts w:ascii="Arial" w:eastAsia="MS Mincho" w:hAnsi="Arial" w:cs="Arial"/>
          <w:i/>
          <w:sz w:val="22"/>
        </w:rPr>
        <w:t>Aquacuture Research</w:t>
      </w:r>
      <w:r>
        <w:rPr>
          <w:rFonts w:ascii="Arial" w:eastAsia="MS Mincho" w:hAnsi="Arial" w:cs="Arial"/>
          <w:sz w:val="22"/>
        </w:rPr>
        <w:t xml:space="preserve">. 32(10):999–1004. doi: </w:t>
      </w:r>
      <w:r>
        <w:rPr>
          <w:rFonts w:ascii="Arial" w:eastAsia="MS Mincho" w:hAnsi="Arial" w:cs="Arial"/>
          <w:sz w:val="22"/>
        </w:rPr>
        <w:fldChar w:fldCharType="begin"/>
      </w:r>
      <w:r>
        <w:rPr>
          <w:rFonts w:ascii="Arial" w:eastAsia="MS Mincho" w:hAnsi="Arial" w:cs="Arial"/>
          <w:sz w:val="22"/>
        </w:rPr>
        <w:instrText>HYPERLINK "C:\\Users\\UNS-Et</w:instrText>
      </w:r>
      <w:r>
        <w:rPr>
          <w:rFonts w:ascii="Arial" w:eastAsia="MS Mincho" w:hAnsi="Arial" w:cs="Arial"/>
          <w:sz w:val="22"/>
        </w:rPr>
        <w:instrText>hanol\\Downloads\\10.1046\\j.1365-2109.2001.00635.x"</w:instrText>
      </w:r>
      <w:r>
        <w:rPr>
          <w:rFonts w:ascii="Arial" w:eastAsia="MS Mincho" w:hAnsi="Arial" w:cs="Arial"/>
          <w:sz w:val="22"/>
        </w:rPr>
        <w:fldChar w:fldCharType="separate"/>
      </w:r>
      <w:r>
        <w:rPr>
          <w:rStyle w:val="Hyperlink"/>
          <w:rFonts w:ascii="Arial" w:eastAsia="MS Mincho" w:hAnsi="Arial" w:cs="Arial"/>
          <w:sz w:val="22"/>
        </w:rPr>
        <w:t>10.1046/j.1365-2109.2001.00635.x</w:t>
      </w:r>
    </w:p>
    <w:p w14:paraId="0CFF71B3" w14:textId="77777777" w:rsidR="00083C7E" w:rsidRDefault="00047EFE">
      <w:pPr>
        <w:pStyle w:val="ListParagraph"/>
        <w:numPr>
          <w:ilvl w:val="0"/>
          <w:numId w:val="1"/>
        </w:numPr>
        <w:jc w:val="both"/>
        <w:rPr>
          <w:rStyle w:val="Hyperlink"/>
          <w:rFonts w:ascii="Arial" w:hAnsi="Arial" w:cs="Arial"/>
          <w:sz w:val="22"/>
          <w:szCs w:val="22"/>
        </w:rPr>
      </w:pPr>
      <w:r>
        <w:rPr>
          <w:rFonts w:eastAsia="MS Mincho"/>
        </w:rPr>
        <w:fldChar w:fldCharType="end"/>
      </w:r>
      <w:r>
        <w:rPr>
          <w:rFonts w:ascii="Arial" w:hAnsi="Arial" w:cs="Arial"/>
          <w:sz w:val="22"/>
          <w:szCs w:val="22"/>
        </w:rPr>
        <w:t xml:space="preserve">Kurniawan, A., Suminto, S., &amp; Haditomo, A. (2019). Pengaruh Penambahan Bakteri Kandidat Probiotik </w:t>
      </w:r>
      <w:r>
        <w:rPr>
          <w:rFonts w:ascii="Arial" w:hAnsi="Arial" w:cs="Arial"/>
          <w:i/>
          <w:sz w:val="22"/>
          <w:szCs w:val="22"/>
        </w:rPr>
        <w:t>Bacillus Methylothropicus</w:t>
      </w:r>
      <w:r>
        <w:rPr>
          <w:rFonts w:ascii="Arial" w:hAnsi="Arial" w:cs="Arial"/>
          <w:sz w:val="22"/>
          <w:szCs w:val="22"/>
        </w:rPr>
        <w:t xml:space="preserve"> Pada Pakan Buatan Terhadap Profil Darah Dan </w:t>
      </w:r>
      <w:r>
        <w:rPr>
          <w:rFonts w:ascii="Arial" w:hAnsi="Arial" w:cs="Arial"/>
          <w:sz w:val="22"/>
          <w:szCs w:val="22"/>
        </w:rPr>
        <w:t>Performa Pertumbuhan Ikan Nila (</w:t>
      </w:r>
      <w:r>
        <w:rPr>
          <w:rFonts w:ascii="Arial" w:hAnsi="Arial" w:cs="Arial"/>
          <w:i/>
          <w:sz w:val="22"/>
          <w:szCs w:val="22"/>
        </w:rPr>
        <w:t>Oreochromis niloticus</w:t>
      </w:r>
      <w:r>
        <w:rPr>
          <w:rFonts w:ascii="Arial" w:hAnsi="Arial" w:cs="Arial"/>
          <w:sz w:val="22"/>
          <w:szCs w:val="22"/>
        </w:rPr>
        <w:t xml:space="preserve">) Yang Diuji Tantang Dengan Bakteri </w:t>
      </w:r>
      <w:r>
        <w:rPr>
          <w:rFonts w:ascii="Arial" w:hAnsi="Arial" w:cs="Arial"/>
          <w:i/>
          <w:sz w:val="22"/>
          <w:szCs w:val="22"/>
        </w:rPr>
        <w:t>Aeromonas hydrophila</w:t>
      </w:r>
      <w:r>
        <w:rPr>
          <w:rFonts w:ascii="Arial" w:hAnsi="Arial" w:cs="Arial"/>
          <w:sz w:val="22"/>
          <w:szCs w:val="22"/>
        </w:rPr>
        <w:t xml:space="preserve">. Sains Akuakultur Tropis: </w:t>
      </w:r>
      <w:r>
        <w:rPr>
          <w:rFonts w:ascii="Arial" w:hAnsi="Arial" w:cs="Arial"/>
          <w:i/>
          <w:sz w:val="22"/>
          <w:szCs w:val="22"/>
        </w:rPr>
        <w:t xml:space="preserve">Indonesian </w:t>
      </w:r>
      <w:r>
        <w:rPr>
          <w:rFonts w:ascii="Arial" w:hAnsi="Arial" w:cs="Arial"/>
          <w:i/>
          <w:sz w:val="22"/>
          <w:szCs w:val="22"/>
        </w:rPr>
        <w:lastRenderedPageBreak/>
        <w:t>Journal Of Tropical Aquaculture</w:t>
      </w:r>
      <w:r>
        <w:rPr>
          <w:rFonts w:ascii="Arial" w:hAnsi="Arial" w:cs="Arial"/>
          <w:sz w:val="22"/>
          <w:szCs w:val="22"/>
        </w:rPr>
        <w:t>. 3 (1): 82-92. doi:</w:t>
      </w:r>
      <w:hyperlink r:id="rId19" w:history="1">
        <w:r>
          <w:rPr>
            <w:rStyle w:val="Hyperlink"/>
            <w:rFonts w:ascii="Arial" w:hAnsi="Arial" w:cs="Arial"/>
            <w:sz w:val="22"/>
            <w:szCs w:val="22"/>
          </w:rPr>
          <w:t>https:</w:t>
        </w:r>
        <w:r>
          <w:rPr>
            <w:rStyle w:val="Hyperlink"/>
            <w:rFonts w:ascii="Arial" w:hAnsi="Arial" w:cs="Arial"/>
            <w:sz w:val="22"/>
            <w:szCs w:val="22"/>
          </w:rPr>
          <w:t>//doi.org/10.14710/sat.v3i1.3956</w:t>
        </w:r>
      </w:hyperlink>
    </w:p>
    <w:p w14:paraId="3EB98D22"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 xml:space="preserve">Kesarcodi-Watson A., Kaspar H., Lategan J. &amp; Gibson L. 2008. Probiotics in aquaculture : The need, principles and mechanisms of action and screening processes. </w:t>
      </w:r>
      <w:r>
        <w:rPr>
          <w:rFonts w:ascii="Arial" w:hAnsi="Arial" w:cs="Arial"/>
          <w:i/>
          <w:sz w:val="22"/>
        </w:rPr>
        <w:t>Aquaculture</w:t>
      </w:r>
      <w:r>
        <w:rPr>
          <w:rFonts w:ascii="Arial" w:hAnsi="Arial" w:cs="Arial"/>
          <w:sz w:val="22"/>
        </w:rPr>
        <w:t xml:space="preserve">. 274: 1-14. </w:t>
      </w:r>
    </w:p>
    <w:p w14:paraId="6F683886" w14:textId="77777777" w:rsidR="00083C7E" w:rsidRDefault="00047EFE">
      <w:pPr>
        <w:pStyle w:val="ListParagraph"/>
        <w:numPr>
          <w:ilvl w:val="0"/>
          <w:numId w:val="1"/>
        </w:numPr>
        <w:spacing w:before="120"/>
        <w:jc w:val="both"/>
        <w:rPr>
          <w:rFonts w:ascii="Arial" w:eastAsia="MS Mincho" w:hAnsi="Arial" w:cs="Arial"/>
          <w:sz w:val="22"/>
        </w:rPr>
      </w:pPr>
      <w:r>
        <w:rPr>
          <w:rFonts w:ascii="Arial" w:eastAsia="MS Mincho" w:hAnsi="Arial" w:cs="Arial"/>
          <w:sz w:val="22"/>
        </w:rPr>
        <w:t>Liu, H., Wang, S., Cai, Y., Guo, X.</w:t>
      </w:r>
      <w:r>
        <w:rPr>
          <w:rFonts w:ascii="Arial" w:eastAsia="MS Mincho" w:hAnsi="Arial" w:cs="Arial"/>
          <w:sz w:val="22"/>
        </w:rPr>
        <w:t xml:space="preserve">, Cao, Z., Zhang, Y., Liu, S., Yuan, W., Zhu, W., Zheng, Y., Xie, Z., Guo, W., Zhou, Y. (2017). Dietary administration of Bacillus subtilis HAINUP40 enhances growth, digestive enzyme activities, innate immune responses and disease resistance of tilapia, </w:t>
      </w:r>
      <w:r>
        <w:rPr>
          <w:rFonts w:ascii="Arial" w:eastAsia="MS Mincho" w:hAnsi="Arial" w:cs="Arial"/>
          <w:i/>
          <w:sz w:val="22"/>
        </w:rPr>
        <w:t>Or</w:t>
      </w:r>
      <w:r>
        <w:rPr>
          <w:rFonts w:ascii="Arial" w:eastAsia="MS Mincho" w:hAnsi="Arial" w:cs="Arial"/>
          <w:i/>
          <w:sz w:val="22"/>
        </w:rPr>
        <w:t>eochromis niloticus</w:t>
      </w:r>
      <w:r>
        <w:rPr>
          <w:rFonts w:ascii="Arial" w:eastAsia="MS Mincho" w:hAnsi="Arial" w:cs="Arial"/>
          <w:sz w:val="22"/>
        </w:rPr>
        <w:t xml:space="preserve">. </w:t>
      </w:r>
      <w:r>
        <w:rPr>
          <w:rFonts w:ascii="Arial" w:eastAsia="MS Mincho" w:hAnsi="Arial" w:cs="Arial"/>
          <w:i/>
          <w:sz w:val="22"/>
        </w:rPr>
        <w:t>Fish Shellfish Immunol</w:t>
      </w:r>
      <w:r>
        <w:rPr>
          <w:rFonts w:ascii="Arial" w:eastAsia="MS Mincho" w:hAnsi="Arial" w:cs="Arial"/>
          <w:sz w:val="22"/>
        </w:rPr>
        <w:t xml:space="preserve">. 60:326–333. </w:t>
      </w:r>
      <w:hyperlink r:id="rId20" w:history="1">
        <w:r>
          <w:rPr>
            <w:rStyle w:val="Hyperlink"/>
            <w:rFonts w:ascii="Arial" w:eastAsia="MS Mincho" w:hAnsi="Arial" w:cs="Arial"/>
            <w:sz w:val="22"/>
          </w:rPr>
          <w:t>https://doi.org/https://doi.org/10.1016/j.fsi.201612.003</w:t>
        </w:r>
      </w:hyperlink>
    </w:p>
    <w:p w14:paraId="0C4D7175" w14:textId="77777777" w:rsidR="00083C7E" w:rsidRDefault="00047EFE">
      <w:pPr>
        <w:pStyle w:val="ListParagraph"/>
        <w:numPr>
          <w:ilvl w:val="0"/>
          <w:numId w:val="1"/>
        </w:numPr>
        <w:spacing w:before="120"/>
        <w:jc w:val="both"/>
        <w:rPr>
          <w:rFonts w:ascii="Arial" w:eastAsia="MS Mincho" w:hAnsi="Arial" w:cs="Arial"/>
          <w:sz w:val="22"/>
        </w:rPr>
      </w:pPr>
      <w:r>
        <w:rPr>
          <w:rFonts w:ascii="Arial" w:eastAsia="MS Mincho" w:hAnsi="Arial" w:cs="Arial"/>
          <w:sz w:val="22"/>
        </w:rPr>
        <w:t xml:space="preserve">Lusiastuti AM, Andriyanto S, Samsudin R. (2017). Efektivitas kombinasi probiotik mikroenkapsulasi melalui pakan untuk pengendalian penyakit Motile </w:t>
      </w:r>
      <w:r>
        <w:rPr>
          <w:rFonts w:ascii="Arial" w:eastAsia="MS Mincho" w:hAnsi="Arial" w:cs="Arial"/>
          <w:i/>
          <w:sz w:val="22"/>
        </w:rPr>
        <w:t>Aeromonas</w:t>
      </w:r>
      <w:r>
        <w:rPr>
          <w:rFonts w:ascii="Arial" w:eastAsia="MS Mincho" w:hAnsi="Arial" w:cs="Arial"/>
          <w:sz w:val="22"/>
        </w:rPr>
        <w:t xml:space="preserve"> </w:t>
      </w:r>
      <w:r>
        <w:rPr>
          <w:rFonts w:ascii="Arial" w:eastAsia="MS Mincho" w:hAnsi="Arial" w:cs="Arial"/>
          <w:i/>
          <w:sz w:val="22"/>
        </w:rPr>
        <w:t>septicemia</w:t>
      </w:r>
      <w:r>
        <w:rPr>
          <w:rFonts w:ascii="Arial" w:eastAsia="MS Mincho" w:hAnsi="Arial" w:cs="Arial"/>
          <w:sz w:val="22"/>
        </w:rPr>
        <w:t xml:space="preserve"> pada ikan lele, </w:t>
      </w:r>
      <w:r>
        <w:rPr>
          <w:rFonts w:ascii="Arial" w:eastAsia="MS Mincho" w:hAnsi="Arial" w:cs="Arial"/>
          <w:i/>
          <w:sz w:val="22"/>
        </w:rPr>
        <w:t>Clarias gariepinus</w:t>
      </w:r>
      <w:r>
        <w:rPr>
          <w:rFonts w:ascii="Arial" w:eastAsia="MS Mincho" w:hAnsi="Arial" w:cs="Arial"/>
          <w:sz w:val="22"/>
        </w:rPr>
        <w:t>. </w:t>
      </w:r>
      <w:r>
        <w:rPr>
          <w:rFonts w:ascii="Arial" w:eastAsia="MS Mincho" w:hAnsi="Arial" w:cs="Arial"/>
          <w:i/>
          <w:iCs/>
          <w:sz w:val="22"/>
        </w:rPr>
        <w:t>J. Ris. Akuakultur</w:t>
      </w:r>
      <w:r>
        <w:rPr>
          <w:rFonts w:ascii="Arial" w:eastAsia="MS Mincho" w:hAnsi="Arial" w:cs="Arial"/>
          <w:sz w:val="22"/>
        </w:rPr>
        <w:t xml:space="preserve">. </w:t>
      </w:r>
      <w:r>
        <w:rPr>
          <w:rFonts w:ascii="Arial" w:eastAsia="MS Mincho" w:hAnsi="Arial" w:cs="Arial"/>
          <w:iCs/>
          <w:sz w:val="22"/>
        </w:rPr>
        <w:t>12</w:t>
      </w:r>
      <w:r>
        <w:rPr>
          <w:rFonts w:ascii="Arial" w:eastAsia="MS Mincho" w:hAnsi="Arial" w:cs="Arial"/>
          <w:sz w:val="22"/>
        </w:rPr>
        <w:t xml:space="preserve">(2):179–186. doi: </w:t>
      </w:r>
      <w:hyperlink r:id="rId21" w:history="1">
        <w:r>
          <w:rPr>
            <w:rStyle w:val="Hyperlink"/>
            <w:rFonts w:ascii="Arial" w:eastAsia="MS Mincho" w:hAnsi="Arial" w:cs="Arial"/>
            <w:sz w:val="22"/>
          </w:rPr>
          <w:t>http://dx.doi.org/10.15578/jra.12.2.2017.179–186</w:t>
        </w:r>
      </w:hyperlink>
      <w:r>
        <w:rPr>
          <w:rFonts w:ascii="Arial" w:eastAsia="MS Mincho" w:hAnsi="Arial" w:cs="Arial"/>
          <w:sz w:val="22"/>
        </w:rPr>
        <w:t xml:space="preserve"> </w:t>
      </w:r>
    </w:p>
    <w:p w14:paraId="120643E3" w14:textId="77777777" w:rsidR="00083C7E" w:rsidRDefault="00047EFE">
      <w:pPr>
        <w:pStyle w:val="ListParagraph"/>
        <w:numPr>
          <w:ilvl w:val="0"/>
          <w:numId w:val="1"/>
        </w:numPr>
        <w:jc w:val="both"/>
        <w:rPr>
          <w:rFonts w:ascii="Arial" w:eastAsia="MS Mincho" w:hAnsi="Arial" w:cs="Arial"/>
          <w:sz w:val="22"/>
        </w:rPr>
      </w:pPr>
      <w:r>
        <w:rPr>
          <w:rFonts w:ascii="Arial" w:eastAsia="MS Mincho" w:hAnsi="Arial" w:cs="Arial"/>
          <w:sz w:val="22"/>
        </w:rPr>
        <w:t>Lumpan Poolsawat, Yifeng Yu, Xiaoqin Li, Xu Zhen, Wenxiang Yao, Pu Wang, Congyan Luo, Xiangjun Leng. (2020). Efficacy of phytogenic extracts on growth pe</w:t>
      </w:r>
      <w:r>
        <w:rPr>
          <w:rFonts w:ascii="Arial" w:eastAsia="MS Mincho" w:hAnsi="Arial" w:cs="Arial"/>
          <w:sz w:val="22"/>
        </w:rPr>
        <w:t>rformance and health of tilapia (</w:t>
      </w:r>
      <w:r>
        <w:rPr>
          <w:rFonts w:ascii="Arial" w:eastAsia="MS Mincho" w:hAnsi="Arial" w:cs="Arial"/>
          <w:i/>
          <w:sz w:val="22"/>
        </w:rPr>
        <w:t>Oreochromis niloticus</w:t>
      </w:r>
      <w:r>
        <w:rPr>
          <w:rFonts w:ascii="Arial" w:eastAsia="MS Mincho" w:hAnsi="Arial" w:cs="Arial"/>
          <w:sz w:val="22"/>
        </w:rPr>
        <w:t xml:space="preserve"> × O. </w:t>
      </w:r>
      <w:r>
        <w:rPr>
          <w:rFonts w:ascii="Arial" w:eastAsia="MS Mincho" w:hAnsi="Arial" w:cs="Arial"/>
          <w:i/>
          <w:sz w:val="22"/>
        </w:rPr>
        <w:t>aureus</w:t>
      </w:r>
      <w:r>
        <w:rPr>
          <w:rFonts w:ascii="Arial" w:eastAsia="MS Mincho" w:hAnsi="Arial" w:cs="Arial"/>
          <w:sz w:val="22"/>
        </w:rPr>
        <w:t xml:space="preserve">). </w:t>
      </w:r>
      <w:r>
        <w:rPr>
          <w:rFonts w:ascii="Arial" w:eastAsia="MS Mincho" w:hAnsi="Arial" w:cs="Arial"/>
          <w:i/>
          <w:sz w:val="22"/>
        </w:rPr>
        <w:t>Aquaculture and Fisheries</w:t>
      </w:r>
      <w:r>
        <w:rPr>
          <w:rFonts w:ascii="Arial" w:eastAsia="MS Mincho" w:hAnsi="Arial" w:cs="Arial"/>
          <w:sz w:val="22"/>
        </w:rPr>
        <w:t xml:space="preserve">. </w:t>
      </w:r>
      <w:hyperlink r:id="rId22" w:history="1">
        <w:r>
          <w:rPr>
            <w:rStyle w:val="Hyperlink"/>
            <w:rFonts w:ascii="Arial" w:eastAsia="MS Mincho" w:hAnsi="Arial" w:cs="Arial"/>
            <w:sz w:val="22"/>
          </w:rPr>
          <w:t>https://doi.org/10.1016/j.aaf.2020.08.009</w:t>
        </w:r>
      </w:hyperlink>
      <w:r>
        <w:rPr>
          <w:rFonts w:ascii="Arial" w:eastAsia="MS Mincho" w:hAnsi="Arial" w:cs="Arial"/>
          <w:sz w:val="22"/>
        </w:rPr>
        <w:t>.</w:t>
      </w:r>
    </w:p>
    <w:p w14:paraId="15671FA7" w14:textId="77777777" w:rsidR="00083C7E" w:rsidRDefault="00047EFE">
      <w:pPr>
        <w:pStyle w:val="ListParagraph"/>
        <w:numPr>
          <w:ilvl w:val="0"/>
          <w:numId w:val="1"/>
        </w:numPr>
        <w:spacing w:before="120"/>
        <w:jc w:val="both"/>
        <w:rPr>
          <w:rFonts w:ascii="Arial" w:eastAsia="MS Mincho" w:hAnsi="Arial" w:cs="Arial"/>
          <w:sz w:val="22"/>
        </w:rPr>
      </w:pPr>
      <w:r>
        <w:rPr>
          <w:rFonts w:ascii="Arial" w:eastAsia="MS Mincho" w:hAnsi="Arial" w:cs="Arial"/>
          <w:sz w:val="22"/>
        </w:rPr>
        <w:t xml:space="preserve">Le Cren, C. P. (1951). </w:t>
      </w:r>
      <w:r>
        <w:rPr>
          <w:rFonts w:ascii="Arial" w:eastAsia="MS Mincho" w:hAnsi="Arial" w:cs="Arial"/>
          <w:bCs/>
          <w:sz w:val="22"/>
        </w:rPr>
        <w:t>Length-Weight Relationship and Seaso</w:t>
      </w:r>
      <w:r>
        <w:rPr>
          <w:rFonts w:ascii="Arial" w:eastAsia="MS Mincho" w:hAnsi="Arial" w:cs="Arial"/>
          <w:bCs/>
          <w:sz w:val="22"/>
        </w:rPr>
        <w:t>nal Cycle in Gonad Weight and Condition in The Perch</w:t>
      </w:r>
      <w:r>
        <w:rPr>
          <w:rFonts w:ascii="Arial" w:eastAsia="MS Mincho" w:hAnsi="Arial" w:cs="Arial"/>
          <w:b/>
          <w:bCs/>
          <w:sz w:val="22"/>
        </w:rPr>
        <w:t xml:space="preserve"> (</w:t>
      </w:r>
      <w:r>
        <w:rPr>
          <w:rFonts w:ascii="Arial" w:eastAsia="MS Mincho" w:hAnsi="Arial" w:cs="Arial"/>
          <w:i/>
          <w:iCs/>
          <w:sz w:val="22"/>
        </w:rPr>
        <w:t>Perca fluviatilis</w:t>
      </w:r>
      <w:r>
        <w:rPr>
          <w:rFonts w:ascii="Arial" w:eastAsia="MS Mincho" w:hAnsi="Arial" w:cs="Arial"/>
          <w:b/>
          <w:bCs/>
          <w:sz w:val="22"/>
        </w:rPr>
        <w:t xml:space="preserve">). </w:t>
      </w:r>
      <w:r>
        <w:rPr>
          <w:rFonts w:ascii="Arial" w:eastAsia="MS Mincho" w:hAnsi="Arial" w:cs="Arial"/>
          <w:i/>
          <w:iCs/>
          <w:sz w:val="22"/>
        </w:rPr>
        <w:t xml:space="preserve">Journal of Animal Ecology </w:t>
      </w:r>
      <w:r>
        <w:rPr>
          <w:rFonts w:ascii="Arial" w:eastAsia="MS Mincho" w:hAnsi="Arial" w:cs="Arial"/>
          <w:sz w:val="22"/>
        </w:rPr>
        <w:t xml:space="preserve">20(2): 201-219. </w:t>
      </w:r>
    </w:p>
    <w:p w14:paraId="30360862" w14:textId="77777777" w:rsidR="00083C7E" w:rsidRDefault="00047EFE">
      <w:pPr>
        <w:pStyle w:val="ListParagraph"/>
        <w:numPr>
          <w:ilvl w:val="0"/>
          <w:numId w:val="1"/>
        </w:numPr>
        <w:spacing w:before="120"/>
        <w:jc w:val="both"/>
        <w:rPr>
          <w:rFonts w:ascii="Arial" w:eastAsia="MS Mincho" w:hAnsi="Arial" w:cs="Arial"/>
          <w:sz w:val="22"/>
        </w:rPr>
      </w:pPr>
      <w:r>
        <w:rPr>
          <w:rFonts w:ascii="Arial" w:eastAsia="MS Mincho" w:hAnsi="Arial" w:cs="Arial"/>
          <w:sz w:val="22"/>
        </w:rPr>
        <w:t xml:space="preserve">Mary A. Opiyo, James Jumbe, Charles C. Ngugi, Harrison Charo-Karisa. (2019). Different levels of probiotics affect growth, survival and </w:t>
      </w:r>
      <w:r>
        <w:rPr>
          <w:rFonts w:ascii="Arial" w:eastAsia="MS Mincho" w:hAnsi="Arial" w:cs="Arial"/>
          <w:sz w:val="22"/>
        </w:rPr>
        <w:t>body composition of Nile tilapia (</w:t>
      </w:r>
      <w:r>
        <w:rPr>
          <w:rFonts w:ascii="Arial" w:eastAsia="MS Mincho" w:hAnsi="Arial" w:cs="Arial"/>
          <w:i/>
          <w:sz w:val="22"/>
        </w:rPr>
        <w:t>Oreochromis niloticus</w:t>
      </w:r>
      <w:r>
        <w:rPr>
          <w:rFonts w:ascii="Arial" w:eastAsia="MS Mincho" w:hAnsi="Arial" w:cs="Arial"/>
          <w:sz w:val="22"/>
        </w:rPr>
        <w:t xml:space="preserve">) cultured in low input ponds. </w:t>
      </w:r>
      <w:r>
        <w:rPr>
          <w:rFonts w:ascii="Arial" w:eastAsia="MS Mincho" w:hAnsi="Arial" w:cs="Arial"/>
          <w:i/>
          <w:sz w:val="22"/>
        </w:rPr>
        <w:t>Scientific African</w:t>
      </w:r>
      <w:r>
        <w:rPr>
          <w:rFonts w:ascii="Arial" w:eastAsia="MS Mincho" w:hAnsi="Arial" w:cs="Arial"/>
          <w:sz w:val="22"/>
        </w:rPr>
        <w:t xml:space="preserve">. Volume 4, e00103, ISSN 2468-2276, </w:t>
      </w:r>
      <w:hyperlink r:id="rId23" w:history="1">
        <w:r>
          <w:rPr>
            <w:rStyle w:val="Hyperlink"/>
            <w:rFonts w:ascii="Arial" w:eastAsia="MS Mincho" w:hAnsi="Arial" w:cs="Arial"/>
            <w:sz w:val="22"/>
          </w:rPr>
          <w:t>https://doi.org/10.1016/j.sciaf.2019.e00103</w:t>
        </w:r>
      </w:hyperlink>
      <w:r>
        <w:rPr>
          <w:rFonts w:ascii="Arial" w:eastAsia="MS Mincho" w:hAnsi="Arial" w:cs="Arial"/>
          <w:sz w:val="22"/>
        </w:rPr>
        <w:t>.</w:t>
      </w:r>
    </w:p>
    <w:p w14:paraId="23EC72B7" w14:textId="77777777" w:rsidR="00083C7E" w:rsidRDefault="00047EFE">
      <w:pPr>
        <w:pStyle w:val="ListParagraph"/>
        <w:numPr>
          <w:ilvl w:val="0"/>
          <w:numId w:val="1"/>
        </w:numPr>
        <w:spacing w:before="120"/>
        <w:jc w:val="both"/>
        <w:rPr>
          <w:rStyle w:val="Hyperlink"/>
          <w:rFonts w:ascii="Arial" w:hAnsi="Arial" w:cs="Arial"/>
          <w:sz w:val="22"/>
          <w:szCs w:val="22"/>
        </w:rPr>
      </w:pPr>
      <w:r>
        <w:rPr>
          <w:rFonts w:ascii="Arial" w:hAnsi="Arial" w:cs="Arial"/>
          <w:sz w:val="22"/>
        </w:rPr>
        <w:t>M</w:t>
      </w:r>
      <w:r>
        <w:rPr>
          <w:rFonts w:ascii="Arial" w:hAnsi="Arial" w:cs="Arial"/>
          <w:sz w:val="22"/>
          <w:szCs w:val="22"/>
        </w:rPr>
        <w:t xml:space="preserve">.Abdel-Tawwab, A.M. Abdel-Rahman, N.E.M. Ismael. (2008).  Evaluation of commercial live bakers’ yeast, </w:t>
      </w:r>
      <w:r>
        <w:rPr>
          <w:rFonts w:ascii="Arial" w:hAnsi="Arial" w:cs="Arial"/>
          <w:i/>
          <w:iCs/>
          <w:sz w:val="22"/>
          <w:szCs w:val="22"/>
        </w:rPr>
        <w:t xml:space="preserve">Saccharomyces cerevisiae </w:t>
      </w:r>
      <w:r>
        <w:rPr>
          <w:rFonts w:ascii="Arial" w:hAnsi="Arial" w:cs="Arial"/>
          <w:sz w:val="22"/>
          <w:szCs w:val="22"/>
        </w:rPr>
        <w:t xml:space="preserve">as a growth and immunity promoter for fry Nile tilapia, </w:t>
      </w:r>
      <w:r>
        <w:rPr>
          <w:rFonts w:ascii="Arial" w:hAnsi="Arial" w:cs="Arial"/>
          <w:i/>
          <w:iCs/>
          <w:sz w:val="22"/>
          <w:szCs w:val="22"/>
        </w:rPr>
        <w:t xml:space="preserve">Oreochromis niloticus </w:t>
      </w:r>
      <w:r>
        <w:rPr>
          <w:rFonts w:ascii="Arial" w:hAnsi="Arial" w:cs="Arial"/>
          <w:sz w:val="22"/>
          <w:szCs w:val="22"/>
        </w:rPr>
        <w:t xml:space="preserve">(L.) challenged in situ with </w:t>
      </w:r>
      <w:r>
        <w:rPr>
          <w:rFonts w:ascii="Arial" w:hAnsi="Arial" w:cs="Arial"/>
          <w:i/>
          <w:iCs/>
          <w:sz w:val="22"/>
          <w:szCs w:val="22"/>
        </w:rPr>
        <w:t>Aeromonas hydrophila</w:t>
      </w:r>
      <w:r>
        <w:rPr>
          <w:rFonts w:ascii="Arial" w:hAnsi="Arial" w:cs="Arial"/>
          <w:sz w:val="22"/>
          <w:szCs w:val="22"/>
        </w:rPr>
        <w:t>,</w:t>
      </w:r>
      <w:r>
        <w:rPr>
          <w:rFonts w:ascii="Arial" w:hAnsi="Arial" w:cs="Arial"/>
          <w:sz w:val="22"/>
          <w:szCs w:val="22"/>
        </w:rPr>
        <w:t xml:space="preserve"> </w:t>
      </w:r>
      <w:r>
        <w:rPr>
          <w:rFonts w:ascii="Arial" w:hAnsi="Arial" w:cs="Arial"/>
          <w:i/>
          <w:sz w:val="22"/>
          <w:szCs w:val="22"/>
        </w:rPr>
        <w:t>Aquaculture</w:t>
      </w:r>
      <w:r>
        <w:rPr>
          <w:rFonts w:ascii="Arial" w:hAnsi="Arial" w:cs="Arial"/>
          <w:sz w:val="22"/>
          <w:szCs w:val="22"/>
        </w:rPr>
        <w:t xml:space="preserve"> 280:185–189, doi:</w:t>
      </w:r>
      <w:r>
        <w:rPr>
          <w:rFonts w:ascii="Arial" w:hAnsi="Arial" w:cs="Arial"/>
          <w:sz w:val="22"/>
          <w:szCs w:val="22"/>
        </w:rPr>
        <w:fldChar w:fldCharType="begin"/>
      </w:r>
      <w:r>
        <w:rPr>
          <w:rFonts w:ascii="Arial" w:hAnsi="Arial" w:cs="Arial"/>
          <w:sz w:val="22"/>
          <w:szCs w:val="22"/>
        </w:rPr>
        <w:instrText>HYPERLINK "C:\\Users\\UNS-Ethanol\\Downloads\\10.1016\\j. aquaculture.2008.03.055"</w:instrText>
      </w:r>
      <w:r>
        <w:rPr>
          <w:rFonts w:ascii="Arial" w:hAnsi="Arial" w:cs="Arial"/>
          <w:sz w:val="22"/>
          <w:szCs w:val="22"/>
        </w:rPr>
        <w:fldChar w:fldCharType="separate"/>
      </w:r>
      <w:r>
        <w:rPr>
          <w:rStyle w:val="Hyperlink"/>
          <w:rFonts w:ascii="Arial" w:hAnsi="Arial" w:cs="Arial"/>
          <w:sz w:val="22"/>
          <w:szCs w:val="22"/>
        </w:rPr>
        <w:t>10.1016/j. aquaculture.2008.03.055.</w:t>
      </w:r>
    </w:p>
    <w:p w14:paraId="40F9AB86" w14:textId="77777777" w:rsidR="00083C7E" w:rsidRDefault="00047EFE">
      <w:pPr>
        <w:pStyle w:val="ListParagraph"/>
        <w:numPr>
          <w:ilvl w:val="0"/>
          <w:numId w:val="1"/>
        </w:numPr>
        <w:jc w:val="both"/>
        <w:rPr>
          <w:rFonts w:ascii="Arial" w:hAnsi="Arial" w:cs="Arial"/>
          <w:sz w:val="22"/>
          <w:szCs w:val="22"/>
        </w:rPr>
      </w:pPr>
      <w:r>
        <w:rPr>
          <w:rFonts w:ascii="Arial" w:hAnsi="Arial" w:cs="Arial"/>
          <w:sz w:val="22"/>
          <w:szCs w:val="22"/>
        </w:rPr>
        <w:fldChar w:fldCharType="end"/>
      </w:r>
      <w:r>
        <w:rPr>
          <w:rFonts w:ascii="Arial" w:hAnsi="Arial" w:cs="Arial"/>
          <w:sz w:val="22"/>
          <w:szCs w:val="22"/>
        </w:rPr>
        <w:t>M.A. Abdelhamid, A.M.M. Refaey, A.M.E. Seden, O.A. Zenhom. (2014). Effect of different sources and levels</w:t>
      </w:r>
      <w:r>
        <w:rPr>
          <w:rFonts w:ascii="Arial" w:hAnsi="Arial" w:cs="Arial"/>
          <w:sz w:val="22"/>
          <w:szCs w:val="22"/>
        </w:rPr>
        <w:t xml:space="preserve"> of some dietary biological additives on: IV – immunity and haematology of Nile tilapia, </w:t>
      </w:r>
      <w:r>
        <w:rPr>
          <w:rFonts w:ascii="Arial" w:hAnsi="Arial" w:cs="Arial"/>
          <w:i/>
          <w:sz w:val="22"/>
          <w:szCs w:val="22"/>
        </w:rPr>
        <w:t>Oreochromis niloticus</w:t>
      </w:r>
      <w:r>
        <w:rPr>
          <w:rFonts w:ascii="Arial" w:hAnsi="Arial" w:cs="Arial"/>
          <w:sz w:val="22"/>
          <w:szCs w:val="22"/>
        </w:rPr>
        <w:t xml:space="preserve">. Egypt, </w:t>
      </w:r>
      <w:r>
        <w:rPr>
          <w:rFonts w:ascii="Arial" w:hAnsi="Arial" w:cs="Arial"/>
          <w:i/>
          <w:sz w:val="22"/>
          <w:szCs w:val="22"/>
        </w:rPr>
        <w:t>J. Aquat. Biol. Fish</w:t>
      </w:r>
      <w:r>
        <w:rPr>
          <w:rFonts w:ascii="Arial" w:hAnsi="Arial" w:cs="Arial"/>
          <w:sz w:val="22"/>
          <w:szCs w:val="22"/>
        </w:rPr>
        <w:t>. 18:49–60, doi:</w:t>
      </w:r>
      <w:hyperlink r:id="rId24" w:history="1">
        <w:r>
          <w:rPr>
            <w:rStyle w:val="Hyperlink"/>
            <w:rFonts w:ascii="Arial" w:hAnsi="Arial" w:cs="Arial"/>
            <w:sz w:val="22"/>
            <w:szCs w:val="22"/>
          </w:rPr>
          <w:t>10.12816/0011096</w:t>
        </w:r>
      </w:hyperlink>
      <w:r>
        <w:rPr>
          <w:rFonts w:ascii="Arial" w:hAnsi="Arial" w:cs="Arial"/>
          <w:sz w:val="22"/>
          <w:szCs w:val="22"/>
        </w:rPr>
        <w:t>.</w:t>
      </w:r>
    </w:p>
    <w:p w14:paraId="453613BD" w14:textId="77777777" w:rsidR="00083C7E" w:rsidRDefault="00047EFE">
      <w:pPr>
        <w:pStyle w:val="ListParagraph"/>
        <w:numPr>
          <w:ilvl w:val="0"/>
          <w:numId w:val="1"/>
        </w:numPr>
        <w:spacing w:before="120"/>
        <w:jc w:val="both"/>
        <w:rPr>
          <w:rFonts w:ascii="Arial" w:hAnsi="Arial" w:cs="Arial"/>
          <w:sz w:val="22"/>
          <w:szCs w:val="22"/>
        </w:rPr>
      </w:pPr>
      <w:r>
        <w:rPr>
          <w:rFonts w:ascii="Arial" w:hAnsi="Arial" w:cs="Arial"/>
          <w:sz w:val="22"/>
          <w:szCs w:val="22"/>
        </w:rPr>
        <w:t>M. Lara-Flore</w:t>
      </w:r>
      <w:r>
        <w:rPr>
          <w:rFonts w:ascii="Arial" w:hAnsi="Arial" w:cs="Arial"/>
          <w:sz w:val="22"/>
          <w:szCs w:val="22"/>
        </w:rPr>
        <w:t>s, M.A. Olvera-Novoa. (2013). The use of lactic acid bacteria isolated from intestinal tract of nile tilapia (</w:t>
      </w:r>
      <w:r>
        <w:rPr>
          <w:rFonts w:ascii="Arial" w:hAnsi="Arial" w:cs="Arial"/>
          <w:i/>
          <w:sz w:val="22"/>
          <w:szCs w:val="22"/>
        </w:rPr>
        <w:t>Oreochromis niloticus</w:t>
      </w:r>
      <w:r>
        <w:rPr>
          <w:rFonts w:ascii="Arial" w:hAnsi="Arial" w:cs="Arial"/>
          <w:sz w:val="22"/>
          <w:szCs w:val="22"/>
        </w:rPr>
        <w:t xml:space="preserve">), as growth promoters in fish fed low protein diets, Lat. Am. </w:t>
      </w:r>
      <w:r>
        <w:rPr>
          <w:rFonts w:ascii="Arial" w:hAnsi="Arial" w:cs="Arial"/>
          <w:i/>
          <w:sz w:val="22"/>
          <w:szCs w:val="22"/>
        </w:rPr>
        <w:t>J. Aquat. Res</w:t>
      </w:r>
      <w:r>
        <w:rPr>
          <w:rFonts w:ascii="Arial" w:hAnsi="Arial" w:cs="Arial"/>
          <w:sz w:val="22"/>
          <w:szCs w:val="22"/>
        </w:rPr>
        <w:t>. 41:490–497, doi:</w:t>
      </w:r>
      <w:hyperlink r:id="rId25" w:history="1">
        <w:r>
          <w:rPr>
            <w:rStyle w:val="Hyperlink"/>
            <w:rFonts w:ascii="Arial" w:hAnsi="Arial" w:cs="Arial"/>
            <w:sz w:val="22"/>
            <w:szCs w:val="22"/>
          </w:rPr>
          <w:t>10.3856/vol41-issue3-fulltext-12</w:t>
        </w:r>
      </w:hyperlink>
      <w:r>
        <w:rPr>
          <w:rFonts w:ascii="Arial" w:hAnsi="Arial" w:cs="Arial"/>
          <w:sz w:val="22"/>
          <w:szCs w:val="22"/>
        </w:rPr>
        <w:t>.</w:t>
      </w:r>
    </w:p>
    <w:p w14:paraId="46A00E41" w14:textId="77777777" w:rsidR="00083C7E" w:rsidRDefault="00047EFE">
      <w:pPr>
        <w:pStyle w:val="ListParagraph"/>
        <w:numPr>
          <w:ilvl w:val="0"/>
          <w:numId w:val="1"/>
        </w:numPr>
        <w:spacing w:before="120"/>
        <w:jc w:val="both"/>
        <w:rPr>
          <w:rFonts w:ascii="Arial" w:hAnsi="Arial" w:cs="Arial"/>
          <w:sz w:val="22"/>
          <w:szCs w:val="22"/>
        </w:rPr>
      </w:pPr>
      <w:r>
        <w:rPr>
          <w:rFonts w:ascii="Arial" w:hAnsi="Arial" w:cs="Arial"/>
          <w:sz w:val="22"/>
          <w:szCs w:val="22"/>
        </w:rPr>
        <w:t>Murall, C.L., Abbate, J.L., Touzel, M.P., Allen-Vercoe, E., Alizon, S., Froissart, R., McCann, K. (2017). Invasions of host-associated microbiome networks, in: Advance</w:t>
      </w:r>
      <w:r>
        <w:rPr>
          <w:rFonts w:ascii="Arial" w:hAnsi="Arial" w:cs="Arial"/>
          <w:sz w:val="22"/>
          <w:szCs w:val="22"/>
        </w:rPr>
        <w:t xml:space="preserve">s in Ecological Research. </w:t>
      </w:r>
      <w:r>
        <w:rPr>
          <w:rFonts w:ascii="Arial" w:hAnsi="Arial" w:cs="Arial"/>
          <w:i/>
          <w:sz w:val="22"/>
          <w:szCs w:val="22"/>
        </w:rPr>
        <w:t>Elsevier</w:t>
      </w:r>
      <w:r>
        <w:rPr>
          <w:rFonts w:ascii="Arial" w:hAnsi="Arial" w:cs="Arial"/>
          <w:sz w:val="22"/>
          <w:szCs w:val="22"/>
        </w:rPr>
        <w:t>, pp. 201–281.</w:t>
      </w:r>
    </w:p>
    <w:p w14:paraId="054FB03B" w14:textId="77777777" w:rsidR="00083C7E" w:rsidRDefault="00047EFE">
      <w:pPr>
        <w:pStyle w:val="ListParagraph"/>
        <w:numPr>
          <w:ilvl w:val="0"/>
          <w:numId w:val="1"/>
        </w:numPr>
        <w:spacing w:before="120"/>
        <w:jc w:val="both"/>
        <w:rPr>
          <w:rFonts w:ascii="Arial" w:eastAsia="MS Mincho" w:hAnsi="Arial" w:cs="Arial"/>
          <w:sz w:val="22"/>
          <w:szCs w:val="22"/>
        </w:rPr>
      </w:pPr>
      <w:r>
        <w:rPr>
          <w:rFonts w:ascii="Arial" w:hAnsi="Arial" w:cs="Arial"/>
          <w:sz w:val="22"/>
          <w:szCs w:val="22"/>
        </w:rPr>
        <w:t xml:space="preserve">Nayak.S.K.  (2010). Probiotics and immunity: a fish perspective, </w:t>
      </w:r>
      <w:r>
        <w:rPr>
          <w:rFonts w:ascii="Arial" w:hAnsi="Arial" w:cs="Arial"/>
          <w:i/>
          <w:sz w:val="22"/>
          <w:szCs w:val="22"/>
        </w:rPr>
        <w:t>Fish Shellfish Immunol</w:t>
      </w:r>
      <w:r>
        <w:rPr>
          <w:rFonts w:ascii="Arial" w:hAnsi="Arial" w:cs="Arial"/>
          <w:sz w:val="22"/>
          <w:szCs w:val="22"/>
        </w:rPr>
        <w:t xml:space="preserve">. 29 (2010) 2–14, </w:t>
      </w:r>
      <w:hyperlink r:id="rId26" w:history="1">
        <w:r>
          <w:rPr>
            <w:rStyle w:val="Hyperlink"/>
            <w:rFonts w:ascii="Arial" w:hAnsi="Arial" w:cs="Arial"/>
            <w:sz w:val="22"/>
            <w:szCs w:val="22"/>
          </w:rPr>
          <w:t>doi:10.1016/j.fsi.2010.02.017</w:t>
        </w:r>
      </w:hyperlink>
      <w:r>
        <w:rPr>
          <w:rFonts w:ascii="Arial" w:hAnsi="Arial" w:cs="Arial"/>
          <w:sz w:val="22"/>
          <w:szCs w:val="22"/>
        </w:rPr>
        <w:t xml:space="preserve">. </w:t>
      </w:r>
      <w:r>
        <w:rPr>
          <w:rFonts w:ascii="MS Mincho" w:eastAsia="MS Mincho" w:hAnsi="MS Mincho" w:cs="MS Mincho"/>
          <w:sz w:val="22"/>
          <w:szCs w:val="22"/>
        </w:rPr>
        <w:t> </w:t>
      </w:r>
    </w:p>
    <w:p w14:paraId="5D286807"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 xml:space="preserve">Nikolsky   G.V.   (1963).   </w:t>
      </w:r>
      <w:r>
        <w:rPr>
          <w:rFonts w:ascii="Arial" w:hAnsi="Arial" w:cs="Arial"/>
          <w:i/>
          <w:sz w:val="22"/>
        </w:rPr>
        <w:t>The   ecology   of fishes</w:t>
      </w:r>
      <w:r>
        <w:rPr>
          <w:rFonts w:ascii="Arial" w:hAnsi="Arial" w:cs="Arial"/>
          <w:sz w:val="22"/>
        </w:rPr>
        <w:t>. Academic Press. New York. 325 p.</w:t>
      </w:r>
    </w:p>
    <w:p w14:paraId="722BAEE7" w14:textId="77777777" w:rsidR="00083C7E" w:rsidRDefault="00047EFE">
      <w:pPr>
        <w:pStyle w:val="ListParagraph"/>
        <w:numPr>
          <w:ilvl w:val="0"/>
          <w:numId w:val="1"/>
        </w:numPr>
        <w:jc w:val="both"/>
        <w:rPr>
          <w:rFonts w:ascii="Arial" w:hAnsi="Arial" w:cs="Arial"/>
          <w:sz w:val="22"/>
          <w:shd w:val="clear" w:color="auto" w:fill="FFFFFF"/>
        </w:rPr>
      </w:pPr>
      <w:r>
        <w:rPr>
          <w:rFonts w:ascii="Arial" w:hAnsi="Arial" w:cs="Arial"/>
          <w:sz w:val="22"/>
          <w:shd w:val="clear" w:color="auto" w:fill="FFFFFF"/>
        </w:rPr>
        <w:t xml:space="preserve">Nuez-Ortín, W.G. (2013). Natural growth promoters in aquaculture practices. </w:t>
      </w:r>
      <w:r>
        <w:rPr>
          <w:rFonts w:ascii="Arial" w:hAnsi="Arial" w:cs="Arial"/>
          <w:i/>
          <w:sz w:val="22"/>
          <w:shd w:val="clear" w:color="auto" w:fill="FFFFFF"/>
        </w:rPr>
        <w:t xml:space="preserve">Centro Tecnológico del Mar-Fundación. </w:t>
      </w:r>
      <w:r>
        <w:rPr>
          <w:rFonts w:ascii="Arial" w:hAnsi="Arial" w:cs="Arial"/>
          <w:sz w:val="22"/>
          <w:shd w:val="clear" w:color="auto" w:fill="FFFFFF"/>
        </w:rPr>
        <w:t>9</w:t>
      </w:r>
      <w:r>
        <w:rPr>
          <w:rFonts w:ascii="Arial" w:eastAsia="Arial" w:hAnsi="Arial" w:cs="Arial"/>
          <w:sz w:val="22"/>
        </w:rPr>
        <w:t>–</w:t>
      </w:r>
      <w:r>
        <w:rPr>
          <w:rFonts w:ascii="Arial" w:hAnsi="Arial" w:cs="Arial"/>
          <w:sz w:val="22"/>
          <w:shd w:val="clear" w:color="auto" w:fill="FFFFFF"/>
        </w:rPr>
        <w:t>23.</w:t>
      </w:r>
    </w:p>
    <w:p w14:paraId="10E1D65F" w14:textId="77777777" w:rsidR="00083C7E" w:rsidRDefault="00047EFE">
      <w:pPr>
        <w:pStyle w:val="ListParagraph"/>
        <w:numPr>
          <w:ilvl w:val="0"/>
          <w:numId w:val="1"/>
        </w:numPr>
        <w:spacing w:before="120"/>
        <w:jc w:val="both"/>
        <w:rPr>
          <w:rFonts w:ascii="Arial" w:eastAsia="MS Mincho" w:hAnsi="Arial" w:cs="Arial"/>
          <w:sz w:val="22"/>
        </w:rPr>
      </w:pPr>
      <w:r>
        <w:rPr>
          <w:rFonts w:ascii="Arial" w:eastAsia="MS Mincho" w:hAnsi="Arial" w:cs="Arial"/>
          <w:sz w:val="22"/>
        </w:rPr>
        <w:t>Pangaribuan, E., Sasanti, AD, &amp; Amin M. 2017. Ef</w:t>
      </w:r>
      <w:r>
        <w:rPr>
          <w:rFonts w:ascii="Arial" w:eastAsia="MS Mincho" w:hAnsi="Arial" w:cs="Arial"/>
          <w:sz w:val="22"/>
        </w:rPr>
        <w:t>isiensi Pakan, Pertumbuhan, Kelangsungan Hidup dan Respon Imun Ikan Patin (</w:t>
      </w:r>
      <w:r>
        <w:rPr>
          <w:rFonts w:ascii="Arial" w:eastAsia="MS Mincho" w:hAnsi="Arial" w:cs="Arial"/>
          <w:i/>
          <w:sz w:val="22"/>
        </w:rPr>
        <w:t>Pangasius</w:t>
      </w:r>
      <w:r>
        <w:rPr>
          <w:rFonts w:ascii="Arial" w:eastAsia="MS Mincho" w:hAnsi="Arial" w:cs="Arial"/>
          <w:sz w:val="22"/>
        </w:rPr>
        <w:t xml:space="preserve"> sp.) yang Diberi Pakan Bersinbiotik. </w:t>
      </w:r>
      <w:r>
        <w:rPr>
          <w:rFonts w:ascii="Arial" w:eastAsia="MS Mincho" w:hAnsi="Arial" w:cs="Arial"/>
          <w:bCs/>
          <w:i/>
          <w:iCs/>
          <w:sz w:val="22"/>
        </w:rPr>
        <w:t>JKR Indo</w:t>
      </w:r>
      <w:r>
        <w:rPr>
          <w:rFonts w:ascii="Arial" w:eastAsia="MS Mincho" w:hAnsi="Arial" w:cs="Arial"/>
          <w:bCs/>
          <w:iCs/>
          <w:sz w:val="22"/>
        </w:rPr>
        <w:t>nesia</w:t>
      </w:r>
      <w:r>
        <w:rPr>
          <w:rFonts w:ascii="Arial" w:eastAsia="MS Mincho" w:hAnsi="Arial" w:cs="Arial"/>
          <w:sz w:val="22"/>
        </w:rPr>
        <w:t xml:space="preserve">. </w:t>
      </w:r>
      <w:r>
        <w:rPr>
          <w:rFonts w:ascii="Arial" w:eastAsia="MS Mincho" w:hAnsi="Arial" w:cs="Arial"/>
          <w:i/>
          <w:iCs/>
          <w:sz w:val="22"/>
        </w:rPr>
        <w:t>5</w:t>
      </w:r>
      <w:r>
        <w:rPr>
          <w:rFonts w:ascii="Arial" w:eastAsia="MS Mincho" w:hAnsi="Arial" w:cs="Arial"/>
          <w:sz w:val="22"/>
        </w:rPr>
        <w:t>(2): 140–154.</w:t>
      </w:r>
    </w:p>
    <w:p w14:paraId="42E9B721"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Putra AN., Utomo NBP. &amp; Widanarni. (2015). Growth Performance of Tilapia (</w:t>
      </w:r>
      <w:r>
        <w:rPr>
          <w:rFonts w:ascii="Arial" w:hAnsi="Arial" w:cs="Arial"/>
          <w:i/>
          <w:sz w:val="22"/>
        </w:rPr>
        <w:t>Oreochromis niloticus</w:t>
      </w:r>
      <w:r>
        <w:rPr>
          <w:rFonts w:ascii="Arial" w:hAnsi="Arial" w:cs="Arial"/>
          <w:sz w:val="22"/>
        </w:rPr>
        <w:t>) Fed wit</w:t>
      </w:r>
      <w:r>
        <w:rPr>
          <w:rFonts w:ascii="Arial" w:hAnsi="Arial" w:cs="Arial"/>
          <w:sz w:val="22"/>
        </w:rPr>
        <w:t xml:space="preserve">h Probiotic, Prebiotic and Synbiotic in Diet. Pakistan, </w:t>
      </w:r>
      <w:r>
        <w:rPr>
          <w:rFonts w:ascii="Arial" w:hAnsi="Arial" w:cs="Arial"/>
          <w:i/>
          <w:sz w:val="22"/>
        </w:rPr>
        <w:t>Journal of Nutrition</w:t>
      </w:r>
      <w:r>
        <w:rPr>
          <w:rFonts w:ascii="Arial" w:hAnsi="Arial" w:cs="Arial"/>
          <w:sz w:val="22"/>
        </w:rPr>
        <w:t xml:space="preserve">. 14(5): 263- 268. </w:t>
      </w:r>
    </w:p>
    <w:p w14:paraId="1B2344CF"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 xml:space="preserve">Ringo, E, Olsen RE, Gifstad TTO, Dalmo RA, Amlund H, Hemre GL, dan Bakke AM. (2010). Prebiotics in aquaculture: a review. </w:t>
      </w:r>
      <w:r>
        <w:rPr>
          <w:rFonts w:ascii="Arial" w:hAnsi="Arial" w:cs="Arial"/>
          <w:i/>
          <w:sz w:val="22"/>
        </w:rPr>
        <w:t>Aquaculture Nutrition</w:t>
      </w:r>
      <w:r>
        <w:rPr>
          <w:rFonts w:ascii="Arial" w:hAnsi="Arial" w:cs="Arial"/>
          <w:sz w:val="22"/>
        </w:rPr>
        <w:t xml:space="preserve"> 16:117-136. </w:t>
      </w:r>
    </w:p>
    <w:p w14:paraId="3313682E" w14:textId="77777777" w:rsidR="00083C7E" w:rsidRDefault="00047EFE">
      <w:pPr>
        <w:pStyle w:val="ListParagraph"/>
        <w:numPr>
          <w:ilvl w:val="0"/>
          <w:numId w:val="1"/>
        </w:numPr>
        <w:spacing w:before="120"/>
        <w:jc w:val="both"/>
        <w:rPr>
          <w:rStyle w:val="Hyperlink"/>
          <w:rFonts w:ascii="Arial" w:hAnsi="Arial"/>
          <w:sz w:val="22"/>
        </w:rPr>
      </w:pPr>
      <w:r>
        <w:rPr>
          <w:rFonts w:ascii="Arial" w:hAnsi="Arial" w:cs="Arial"/>
          <w:sz w:val="22"/>
        </w:rPr>
        <w:lastRenderedPageBreak/>
        <w:t>Rusdani, M. M., Waspodo, S. A. S., &amp; Abidin, Z. (2016). Pengaruh Pemberian Probiotik Bacillus Spp. Melalui Pakan Terhadap Kelangsungan Hidup Dan Laju Pertumbuhan Ikan Nila (</w:t>
      </w:r>
      <w:r>
        <w:rPr>
          <w:rFonts w:ascii="Arial" w:hAnsi="Arial" w:cs="Arial"/>
          <w:i/>
          <w:sz w:val="22"/>
        </w:rPr>
        <w:t>Oreochromis niloticus</w:t>
      </w:r>
      <w:r>
        <w:rPr>
          <w:rFonts w:ascii="Arial" w:hAnsi="Arial" w:cs="Arial"/>
          <w:sz w:val="22"/>
        </w:rPr>
        <w:t xml:space="preserve">). </w:t>
      </w:r>
      <w:r>
        <w:rPr>
          <w:rFonts w:ascii="Arial" w:hAnsi="Arial" w:cs="Arial"/>
          <w:i/>
          <w:sz w:val="22"/>
        </w:rPr>
        <w:t>J. Bio. Tropis</w:t>
      </w:r>
      <w:r>
        <w:rPr>
          <w:rFonts w:ascii="Arial" w:hAnsi="Arial" w:cs="Arial"/>
          <w:sz w:val="22"/>
        </w:rPr>
        <w:t>. 16 (1): 34-40. doi:</w:t>
      </w:r>
      <w:hyperlink r:id="rId27" w:history="1">
        <w:r>
          <w:rPr>
            <w:rStyle w:val="Hyperlink"/>
            <w:rFonts w:ascii="Arial" w:hAnsi="Arial" w:cs="Arial"/>
            <w:sz w:val="22"/>
          </w:rPr>
          <w:t>10.29303/jbt.v16i1.103</w:t>
        </w:r>
      </w:hyperlink>
    </w:p>
    <w:p w14:paraId="0A908248" w14:textId="77777777" w:rsidR="00083C7E" w:rsidRDefault="00047EFE">
      <w:pPr>
        <w:pStyle w:val="ListParagraph"/>
        <w:numPr>
          <w:ilvl w:val="0"/>
          <w:numId w:val="1"/>
        </w:numPr>
        <w:jc w:val="both"/>
        <w:rPr>
          <w:rStyle w:val="Hyperlink"/>
          <w:rFonts w:ascii="Arial" w:hAnsi="Arial"/>
          <w:color w:val="222222"/>
          <w:sz w:val="22"/>
          <w:shd w:val="clear" w:color="auto" w:fill="FFFFFF"/>
        </w:rPr>
      </w:pPr>
      <w:r>
        <w:rPr>
          <w:rFonts w:ascii="Arial" w:hAnsi="Arial" w:cs="Arial"/>
          <w:color w:val="222222"/>
          <w:sz w:val="22"/>
          <w:shd w:val="clear" w:color="auto" w:fill="FFFFFF"/>
        </w:rPr>
        <w:t xml:space="preserve">Tacon, AEJ. 1987. The Nutrition And Feeding Formed Fish And Shrimp. </w:t>
      </w:r>
      <w:r>
        <w:rPr>
          <w:rFonts w:ascii="Arial" w:hAnsi="Arial" w:cs="Arial"/>
          <w:i/>
          <w:iCs/>
          <w:color w:val="222222"/>
          <w:sz w:val="22"/>
          <w:shd w:val="clear" w:color="auto" w:fill="FFFFFF"/>
        </w:rPr>
        <w:t xml:space="preserve">A Training Manual Food And Agriculture Of United Nation Brazilling </w:t>
      </w:r>
      <w:r>
        <w:rPr>
          <w:rFonts w:ascii="Arial" w:hAnsi="Arial" w:cs="Arial"/>
          <w:color w:val="222222"/>
          <w:sz w:val="22"/>
          <w:shd w:val="clear" w:color="auto" w:fill="FFFFFF"/>
        </w:rPr>
        <w:t xml:space="preserve">, </w:t>
      </w:r>
      <w:r>
        <w:rPr>
          <w:rFonts w:ascii="Arial" w:hAnsi="Arial" w:cs="Arial"/>
          <w:i/>
          <w:iCs/>
          <w:color w:val="222222"/>
          <w:sz w:val="22"/>
          <w:shd w:val="clear" w:color="auto" w:fill="FFFFFF"/>
        </w:rPr>
        <w:t>Brazil</w:t>
      </w:r>
      <w:r>
        <w:rPr>
          <w:rFonts w:ascii="Arial" w:hAnsi="Arial" w:cs="Arial"/>
          <w:color w:val="222222"/>
          <w:sz w:val="22"/>
          <w:shd w:val="clear" w:color="auto" w:fill="FFFFFF"/>
        </w:rPr>
        <w:t>.</w:t>
      </w:r>
    </w:p>
    <w:p w14:paraId="64E2C844" w14:textId="77777777" w:rsidR="00083C7E" w:rsidRDefault="00047EFE">
      <w:pPr>
        <w:pStyle w:val="ListParagraph"/>
        <w:numPr>
          <w:ilvl w:val="0"/>
          <w:numId w:val="1"/>
        </w:numPr>
        <w:spacing w:before="120"/>
        <w:jc w:val="both"/>
        <w:rPr>
          <w:rFonts w:ascii="MS Mincho" w:eastAsia="MS Mincho" w:hAnsi="MS Mincho" w:cs="MS Mincho"/>
          <w:sz w:val="22"/>
        </w:rPr>
      </w:pPr>
      <w:r>
        <w:rPr>
          <w:rFonts w:ascii="Arial" w:hAnsi="Arial" w:cs="Arial"/>
          <w:sz w:val="22"/>
        </w:rPr>
        <w:t>T.L. Welker, C. Lim, Use of probioti</w:t>
      </w:r>
      <w:r>
        <w:rPr>
          <w:rFonts w:ascii="Arial" w:hAnsi="Arial" w:cs="Arial"/>
          <w:sz w:val="22"/>
        </w:rPr>
        <w:t>cs in diets of tilapia, J</w:t>
      </w:r>
      <w:r>
        <w:rPr>
          <w:rFonts w:ascii="Arial" w:hAnsi="Arial" w:cs="Arial"/>
          <w:i/>
          <w:sz w:val="22"/>
        </w:rPr>
        <w:t>. Aquac. Res</w:t>
      </w:r>
      <w:r>
        <w:rPr>
          <w:rFonts w:ascii="Arial" w:hAnsi="Arial" w:cs="Arial"/>
          <w:sz w:val="22"/>
        </w:rPr>
        <w:t>. Dev. s1. 2011. 1–8, doi:</w:t>
      </w:r>
      <w:hyperlink r:id="rId28" w:history="1">
        <w:r>
          <w:rPr>
            <w:rStyle w:val="Hyperlink"/>
            <w:rFonts w:ascii="Arial" w:hAnsi="Arial" w:cs="Arial"/>
            <w:sz w:val="22"/>
          </w:rPr>
          <w:t>10.4172/2155-9546.S1-014.</w:t>
        </w:r>
      </w:hyperlink>
      <w:r>
        <w:rPr>
          <w:rFonts w:ascii="Arial" w:hAnsi="Arial" w:cs="Arial"/>
          <w:sz w:val="22"/>
        </w:rPr>
        <w:t xml:space="preserve"> </w:t>
      </w:r>
      <w:r>
        <w:rPr>
          <w:rFonts w:ascii="MS Mincho" w:eastAsia="MS Mincho" w:hAnsi="MS Mincho" w:cs="MS Mincho"/>
          <w:sz w:val="22"/>
        </w:rPr>
        <w:t> </w:t>
      </w:r>
    </w:p>
    <w:p w14:paraId="6B29B6D0"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Van Doan, H., Hoseinifar, S.H., Khanongnuch, C., Kanpiengjai, A., Unban, K., Van Kim, V</w:t>
      </w:r>
      <w:r>
        <w:rPr>
          <w:rFonts w:ascii="Arial" w:hAnsi="Arial" w:cs="Arial"/>
          <w:sz w:val="22"/>
        </w:rPr>
        <w:t>., Srichaiyo, S. (2018). Host-associated probiotics boosted mucosal and serum immunity, disease resistance and growth performance of Nile tilapia (</w:t>
      </w:r>
      <w:r>
        <w:rPr>
          <w:rFonts w:ascii="Arial" w:hAnsi="Arial" w:cs="Arial"/>
          <w:i/>
          <w:sz w:val="22"/>
        </w:rPr>
        <w:t>Oreochromis</w:t>
      </w:r>
      <w:r>
        <w:rPr>
          <w:rFonts w:ascii="Arial" w:hAnsi="Arial" w:cs="Arial"/>
          <w:sz w:val="22"/>
        </w:rPr>
        <w:t xml:space="preserve"> </w:t>
      </w:r>
      <w:r>
        <w:rPr>
          <w:rFonts w:ascii="Arial" w:hAnsi="Arial" w:cs="Arial"/>
          <w:i/>
          <w:sz w:val="22"/>
        </w:rPr>
        <w:t>niloticus</w:t>
      </w:r>
      <w:r>
        <w:rPr>
          <w:rFonts w:ascii="Arial" w:hAnsi="Arial" w:cs="Arial"/>
          <w:sz w:val="22"/>
        </w:rPr>
        <w:t xml:space="preserve">). </w:t>
      </w:r>
      <w:r>
        <w:rPr>
          <w:rFonts w:ascii="Arial" w:hAnsi="Arial" w:cs="Arial"/>
          <w:i/>
          <w:sz w:val="22"/>
        </w:rPr>
        <w:t>Aquaculture</w:t>
      </w:r>
      <w:r>
        <w:rPr>
          <w:rFonts w:ascii="Arial" w:hAnsi="Arial" w:cs="Arial"/>
          <w:sz w:val="22"/>
        </w:rPr>
        <w:t xml:space="preserve"> 491, 94–100. </w:t>
      </w:r>
      <w:hyperlink r:id="rId29" w:history="1">
        <w:r>
          <w:rPr>
            <w:rStyle w:val="Hyperlink"/>
            <w:rFonts w:ascii="Arial" w:hAnsi="Arial" w:cs="Arial"/>
            <w:sz w:val="22"/>
          </w:rPr>
          <w:t>https://doi.org/10.1016/j.aquaculture.2018.03.019</w:t>
        </w:r>
      </w:hyperlink>
      <w:r>
        <w:rPr>
          <w:rFonts w:ascii="Arial" w:hAnsi="Arial" w:cs="Arial"/>
          <w:sz w:val="22"/>
        </w:rPr>
        <w:t>.</w:t>
      </w:r>
    </w:p>
    <w:p w14:paraId="3A5728CC"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 xml:space="preserve">Van Doan, H., Hoseinifar, S.H., Ringø, E., Ángeles Esteban, M., Dadar, M., Dawood, M.A.O., Faggio, C. (2019). Host-Associated Probiotics: A Key Factor in Sustainable Aquaculture. Rev. </w:t>
      </w:r>
      <w:r>
        <w:rPr>
          <w:rFonts w:ascii="Arial" w:hAnsi="Arial" w:cs="Arial"/>
          <w:i/>
          <w:sz w:val="22"/>
        </w:rPr>
        <w:t xml:space="preserve">Fish. Sci. </w:t>
      </w:r>
      <w:r>
        <w:rPr>
          <w:rFonts w:ascii="Arial" w:hAnsi="Arial" w:cs="Arial"/>
          <w:i/>
          <w:sz w:val="22"/>
        </w:rPr>
        <w:t>Aquac</w:t>
      </w:r>
      <w:r>
        <w:rPr>
          <w:rFonts w:ascii="Arial" w:hAnsi="Arial" w:cs="Arial"/>
          <w:sz w:val="22"/>
        </w:rPr>
        <w:t xml:space="preserve">. 1–27. </w:t>
      </w:r>
    </w:p>
    <w:p w14:paraId="3CC4EEDB" w14:textId="77777777" w:rsidR="00083C7E" w:rsidRDefault="00047EFE">
      <w:pPr>
        <w:pStyle w:val="ListParagraph"/>
        <w:numPr>
          <w:ilvl w:val="0"/>
          <w:numId w:val="1"/>
        </w:numPr>
        <w:spacing w:before="120"/>
        <w:jc w:val="both"/>
        <w:rPr>
          <w:rFonts w:ascii="Arial" w:hAnsi="Arial" w:cs="Arial"/>
          <w:sz w:val="22"/>
        </w:rPr>
      </w:pPr>
      <w:r>
        <w:rPr>
          <w:rFonts w:ascii="Arial" w:hAnsi="Arial" w:cs="Arial"/>
          <w:sz w:val="22"/>
        </w:rPr>
        <w:t>Widanarni, W., Sukenda, S., &amp; Septiani, GR. (2016). Aplikasi Sinbiotik Untuk Pencegahan Infeksi Infectious Myonecrosis Virus Pada Udang Vaname (Litopenaeus Vannamei) (Synbiotic Application For Prevention Of Infectious Myonecrosis Virus Infect</w:t>
      </w:r>
      <w:r>
        <w:rPr>
          <w:rFonts w:ascii="Arial" w:hAnsi="Arial" w:cs="Arial"/>
          <w:sz w:val="22"/>
        </w:rPr>
        <w:t>ion In White Shrimp (</w:t>
      </w:r>
      <w:r>
        <w:rPr>
          <w:rFonts w:ascii="Arial" w:hAnsi="Arial" w:cs="Arial"/>
          <w:i/>
          <w:sz w:val="22"/>
        </w:rPr>
        <w:t>Litopenaeus</w:t>
      </w:r>
      <w:r>
        <w:rPr>
          <w:rFonts w:ascii="Arial" w:hAnsi="Arial" w:cs="Arial"/>
          <w:sz w:val="22"/>
        </w:rPr>
        <w:t xml:space="preserve"> </w:t>
      </w:r>
      <w:r>
        <w:rPr>
          <w:rFonts w:ascii="Arial" w:hAnsi="Arial" w:cs="Arial"/>
          <w:i/>
          <w:sz w:val="22"/>
        </w:rPr>
        <w:t>Vannamei</w:t>
      </w:r>
      <w:r>
        <w:rPr>
          <w:rFonts w:ascii="Arial" w:hAnsi="Arial" w:cs="Arial"/>
          <w:sz w:val="22"/>
        </w:rPr>
        <w:t>)</w:t>
      </w:r>
      <w:r>
        <w:rPr>
          <w:rFonts w:ascii="Arial" w:hAnsi="Arial" w:cs="Arial"/>
          <w:bCs/>
          <w:i/>
          <w:iCs/>
          <w:sz w:val="22"/>
        </w:rPr>
        <w:t>.  J Vet Sci</w:t>
      </w:r>
      <w:r>
        <w:rPr>
          <w:rFonts w:ascii="Arial" w:hAnsi="Arial" w:cs="Arial"/>
          <w:sz w:val="22"/>
        </w:rPr>
        <w:t>. </w:t>
      </w:r>
      <w:r>
        <w:rPr>
          <w:rFonts w:ascii="Arial" w:hAnsi="Arial" w:cs="Arial"/>
          <w:i/>
          <w:iCs/>
          <w:sz w:val="22"/>
        </w:rPr>
        <w:t>10</w:t>
      </w:r>
      <w:r>
        <w:rPr>
          <w:rFonts w:ascii="Arial" w:hAnsi="Arial" w:cs="Arial"/>
          <w:sz w:val="22"/>
        </w:rPr>
        <w:t>(2), 121–127. doi: </w:t>
      </w:r>
      <w:hyperlink r:id="rId30" w:history="1">
        <w:r>
          <w:rPr>
            <w:rStyle w:val="Hyperlink"/>
            <w:rFonts w:ascii="Arial" w:hAnsi="Arial" w:cs="Arial"/>
            <w:sz w:val="22"/>
          </w:rPr>
          <w:t>/10.21157/j.ked.hewan.v10i2.5041</w:t>
        </w:r>
      </w:hyperlink>
      <w:r>
        <w:rPr>
          <w:rFonts w:ascii="Arial" w:hAnsi="Arial" w:cs="Arial"/>
          <w:sz w:val="22"/>
        </w:rPr>
        <w:t xml:space="preserve">  </w:t>
      </w:r>
    </w:p>
    <w:p w14:paraId="6A0C0BBE" w14:textId="77777777" w:rsidR="00083C7E" w:rsidRDefault="00083C7E">
      <w:pPr>
        <w:rPr>
          <w:b/>
        </w:rPr>
      </w:pPr>
    </w:p>
    <w:sectPr w:rsidR="00083C7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608CA" w14:textId="77777777" w:rsidR="00047EFE" w:rsidRDefault="00047EFE">
      <w:r>
        <w:separator/>
      </w:r>
    </w:p>
  </w:endnote>
  <w:endnote w:type="continuationSeparator" w:id="0">
    <w:p w14:paraId="2F55AD84" w14:textId="77777777" w:rsidR="00047EFE" w:rsidRDefault="0004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default"/>
    <w:sig w:usb0="00000003" w:usb1="288F0000" w:usb2="00000006" w:usb3="00000000" w:csb0="00040001"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default"/>
    <w:sig w:usb0="E4002EFF" w:usb1="C000E47F" w:usb2="00000009" w:usb3="00000000" w:csb0="200001FF" w:csb1="00000000"/>
  </w:font>
  <w:font w:name="MS Mincho">
    <w:panose1 w:val="02020609040205080304"/>
    <w:charset w:val="80"/>
    <w:family w:val="auto"/>
    <w:pitch w:val="variable"/>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B7F48" w14:textId="77777777" w:rsidR="00047EFE" w:rsidRDefault="00047EFE">
      <w:r>
        <w:separator/>
      </w:r>
    </w:p>
  </w:footnote>
  <w:footnote w:type="continuationSeparator" w:id="0">
    <w:p w14:paraId="66317F1A" w14:textId="77777777" w:rsidR="00047EFE" w:rsidRDefault="00047E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B1F84"/>
    <w:multiLevelType w:val="multilevel"/>
    <w:tmpl w:val="2B9B1F84"/>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6C"/>
    <w:rsid w:val="00047EFE"/>
    <w:rsid w:val="00083C7E"/>
    <w:rsid w:val="00092044"/>
    <w:rsid w:val="001B20E8"/>
    <w:rsid w:val="00290861"/>
    <w:rsid w:val="002F57B7"/>
    <w:rsid w:val="0045739C"/>
    <w:rsid w:val="00461828"/>
    <w:rsid w:val="0050037A"/>
    <w:rsid w:val="00596A67"/>
    <w:rsid w:val="005D6C68"/>
    <w:rsid w:val="0060416A"/>
    <w:rsid w:val="00631BE1"/>
    <w:rsid w:val="006A0109"/>
    <w:rsid w:val="007928BB"/>
    <w:rsid w:val="00AE136C"/>
    <w:rsid w:val="00AF4D33"/>
    <w:rsid w:val="00B35D8F"/>
    <w:rsid w:val="00B36748"/>
    <w:rsid w:val="00BF699E"/>
    <w:rsid w:val="00C03443"/>
    <w:rsid w:val="261D2DC9"/>
    <w:rsid w:val="4A49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8BA9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4"/>
      <w:szCs w:val="24"/>
    </w:rPr>
  </w:style>
  <w:style w:type="paragraph" w:styleId="Heading2">
    <w:name w:val="heading 2"/>
    <w:basedOn w:val="Normal"/>
    <w:next w:val="Normal"/>
    <w:link w:val="Heading2Char"/>
    <w:uiPriority w:val="9"/>
    <w:qFormat/>
    <w:pPr>
      <w:keepNext/>
      <w:keepLines/>
      <w:spacing w:before="40"/>
      <w:outlineLvl w:val="1"/>
    </w:pPr>
    <w:rPr>
      <w:rFonts w:ascii="Calibri Light" w:eastAsia="SimSun" w:hAnsi="Calibri Light" w:cs="SimSu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styleId="FollowedHyperlink">
    <w:name w:val="FollowedHyperlink"/>
    <w:basedOn w:val="DefaultParagraphFont"/>
    <w:uiPriority w:val="99"/>
    <w:rPr>
      <w:color w:val="954F72"/>
      <w:u w:val="single"/>
    </w:rPr>
  </w:style>
  <w:style w:type="character" w:styleId="Hyperlink">
    <w:name w:val="Hyperlink"/>
    <w:basedOn w:val="DefaultParagraphFont"/>
    <w:uiPriority w:val="99"/>
    <w:rPr>
      <w:color w:val="0563C1"/>
      <w:u w:val="single"/>
    </w:rPr>
  </w:style>
  <w:style w:type="paragraph" w:styleId="NormalWeb">
    <w:name w:val="Normal (Web)"/>
    <w:basedOn w:val="Normal"/>
    <w:uiPriority w:val="99"/>
    <w:pPr>
      <w:spacing w:before="100" w:beforeAutospacing="1" w:after="100" w:afterAutospacing="1"/>
    </w:pPr>
    <w:rPr>
      <w:rFonts w:eastAsia="Times New Roman"/>
    </w:rPr>
  </w:style>
  <w:style w:type="table" w:styleId="TableGrid">
    <w:name w:val="Table Grid"/>
    <w:basedOn w:val="TableNormal"/>
    <w:uiPriority w:val="39"/>
    <w:qFormat/>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link w:val="ParagrafChar"/>
    <w:qFormat/>
    <w:pPr>
      <w:spacing w:line="360" w:lineRule="auto"/>
      <w:ind w:firstLine="567"/>
      <w:jc w:val="both"/>
    </w:pPr>
    <w:rPr>
      <w:rFonts w:eastAsia="MS Mincho" w:cs="Arial"/>
      <w:lang w:val="id-ID"/>
    </w:rPr>
  </w:style>
  <w:style w:type="character" w:customStyle="1" w:styleId="ParagrafChar">
    <w:name w:val="Paragraf Char"/>
    <w:link w:val="Paragraf"/>
    <w:qFormat/>
    <w:rPr>
      <w:rFonts w:ascii="Times New Roman" w:eastAsia="MS Mincho" w:hAnsi="Times New Roman" w:cs="Arial"/>
      <w:sz w:val="24"/>
      <w:szCs w:val="24"/>
      <w:lang w:val="id-ID"/>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Calibri Light" w:eastAsia="SimSun" w:hAnsi="Calibri Light" w:cs="SimSun"/>
      <w:color w:val="2E74B5"/>
      <w:sz w:val="26"/>
      <w:szCs w:val="26"/>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customStyle="1" w:styleId="Revision1">
    <w:name w:val="Revision1"/>
    <w:uiPriority w:val="99"/>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s://doi.org/https://doi.org/10.1016/j.fsi.201612.003" TargetMode="External"/><Relationship Id="rId21" Type="http://schemas.openxmlformats.org/officeDocument/2006/relationships/hyperlink" Target="http://dx.doi.org/10.15578/jra.12.2.2017.179&#8211;186" TargetMode="External"/><Relationship Id="rId22" Type="http://schemas.openxmlformats.org/officeDocument/2006/relationships/hyperlink" Target="https://doi.org/10.1016/j.aaf.2020.08.009" TargetMode="External"/><Relationship Id="rId23" Type="http://schemas.openxmlformats.org/officeDocument/2006/relationships/hyperlink" Target="https://doi.org/10.1016/j.sciaf.2019.e00103" TargetMode="External"/><Relationship Id="rId24" Type="http://schemas.openxmlformats.org/officeDocument/2006/relationships/hyperlink" Target="file:/C:/Users/UNS-Ethanol/Downloads/10.12816/0011096" TargetMode="External"/><Relationship Id="rId25" Type="http://schemas.openxmlformats.org/officeDocument/2006/relationships/hyperlink" Target="file:/C:/Users/UNS-Ethanol/Downloads/10.3856/vol41-issue3-fulltext-12" TargetMode="External"/><Relationship Id="rId26" Type="http://schemas.openxmlformats.org/officeDocument/2006/relationships/hyperlink" Target="doi:10.1016/j.fsi.2010.02.017" TargetMode="External"/><Relationship Id="rId27" Type="http://schemas.openxmlformats.org/officeDocument/2006/relationships/hyperlink" Target="file:/C:/Users/UNS-Ethanol/Downloads/10.29303/jbt.v16i1.103" TargetMode="External"/><Relationship Id="rId28" Type="http://schemas.openxmlformats.org/officeDocument/2006/relationships/hyperlink" Target="file:/C:/Users/UNS-Ethanol/Downloads/10.4172/2155-9546.S1-014" TargetMode="External"/><Relationship Id="rId29" Type="http://schemas.openxmlformats.org/officeDocument/2006/relationships/hyperlink" Target="https://doi.org/10.1016/j.aquaculture.2018.03.019" TargetMode="External"/><Relationship Id="rId30" Type="http://schemas.openxmlformats.org/officeDocument/2006/relationships/hyperlink" Target="https://doi.org/10.21157/j.ked.hewan.v10i2.5041"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hyperlink" Target="file:/C:/Users/UNS-Ethanol/Downloads/10.1016/j.fsi.2008.03.013" TargetMode="External"/><Relationship Id="rId14" Type="http://schemas.openxmlformats.org/officeDocument/2006/relationships/hyperlink" Target="file:/C:/Users/UNS-Ethanol/Downloads/10.1079/BJN2002634" TargetMode="External"/><Relationship Id="rId15" Type="http://schemas.openxmlformats.org/officeDocument/2006/relationships/hyperlink" Target="file://C:/Users/UNS-Ethanol/Downloads/E.R.%20El-Haroun,%20A.M.A.-S.%20Goda,%20M.A.%20Kabir%20Chowdhury,%20Effect%20of%20dietary%20probiotic%20biogen&#174;%20supplementation%20as%20a%20growth%20promoter%20on%20growth%20perfor-%20mance%20and%20feed%20utilization%20of%20Nile%20tilapia,%20Oreochromis%20niloticus%20(L.),%20Aquac.%20Res.%2037%20(2006)%201473&#8211;148" TargetMode="External"/><Relationship Id="rId16" Type="http://schemas.openxmlformats.org/officeDocument/2006/relationships/hyperlink" Target="https://doi.org/10.1016/S0044-8486(99)00187&#8211;8" TargetMode="External"/><Relationship Id="rId17" Type="http://schemas.openxmlformats.org/officeDocument/2006/relationships/hyperlink" Target="file:/C:/Users/UNS-Ethanol/Downloads/10.1016/j.fsi.2013.06.014" TargetMode="External"/><Relationship Id="rId18" Type="http://schemas.openxmlformats.org/officeDocument/2006/relationships/hyperlink" Target="https://doi.org/https://doi.org/10.1016/j.fsi.2015.06.018" TargetMode="External"/><Relationship Id="rId19" Type="http://schemas.openxmlformats.org/officeDocument/2006/relationships/hyperlink" Target="https://doi.org/10.14710/sat.v3i1.3956"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4" Type="http://schemas.openxmlformats.org/officeDocument/2006/relationships/package" Target="../embeddings/Microsoft_Excel_Worksheet1.xlsx"/><Relationship Id="rId1" Type="http://schemas.microsoft.com/office/2011/relationships/chartStyle" Target="style1.xml"/><Relationship Id="rId2" Type="http://schemas.microsoft.com/office/2011/relationships/chartColorStyle" Target="colors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4" Type="http://schemas.openxmlformats.org/officeDocument/2006/relationships/package" Target="../embeddings/Microsoft_Excel_Worksheet2.xlsx"/><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4" Type="http://schemas.openxmlformats.org/officeDocument/2006/relationships/package" Target="../embeddings/Microsoft_Excel_Worksheet3.xlsx"/><Relationship Id="rId1" Type="http://schemas.microsoft.com/office/2011/relationships/chartStyle" Target="style3.xml"/><Relationship Id="rId2"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981949106755"/>
          <c:y val="0.0577264653641208"/>
          <c:w val="0.821522112885496"/>
          <c:h val="0.821847246891652"/>
        </c:manualLayout>
      </c:layout>
      <c:barChart>
        <c:barDir val="col"/>
        <c:grouping val="clustered"/>
        <c:varyColors val="0"/>
        <c:ser>
          <c:idx val="0"/>
          <c:order val="0"/>
          <c:tx>
            <c:strRef>
              <c:f>Sintasan!$F$35</c:f>
              <c:strCache>
                <c:ptCount val="1"/>
                <c:pt idx="0">
                  <c:v>Sintasan</c:v>
                </c:pt>
              </c:strCache>
            </c:strRef>
          </c:tx>
          <c:spPr>
            <a:pattFill prst="horzBrick">
              <a:fgClr>
                <a:schemeClr val="tx1"/>
              </a:fgClr>
              <a:bgClr>
                <a:schemeClr val="bg1"/>
              </a:bgClr>
            </a:pattFill>
            <a:ln>
              <a:solidFill>
                <a:schemeClr val="tx1"/>
              </a:solidFill>
            </a:ln>
            <a:effectLst/>
          </c:spPr>
          <c:invertIfNegative val="0"/>
          <c:dPt>
            <c:idx val="1"/>
            <c:invertIfNegative val="0"/>
            <c:bubble3D val="0"/>
            <c:spPr>
              <a:pattFill prst="wdDnDiag">
                <a:fgClr>
                  <a:schemeClr val="tx1"/>
                </a:fgClr>
                <a:bgClr>
                  <a:schemeClr val="bg1"/>
                </a:bgClr>
              </a:pattFill>
              <a:ln>
                <a:solidFill>
                  <a:schemeClr val="tx1"/>
                </a:solidFill>
              </a:ln>
              <a:effectLst/>
            </c:spPr>
          </c:dPt>
          <c:dPt>
            <c:idx val="2"/>
            <c:invertIfNegative val="0"/>
            <c:bubble3D val="0"/>
            <c:spPr>
              <a:pattFill prst="dotDmnd">
                <a:fgClr>
                  <a:schemeClr val="tx1"/>
                </a:fgClr>
                <a:bgClr>
                  <a:schemeClr val="bg1"/>
                </a:bgClr>
              </a:pattFill>
              <a:ln>
                <a:solidFill>
                  <a:schemeClr val="tx1"/>
                </a:solidFill>
              </a:ln>
              <a:effectLst/>
            </c:spPr>
          </c:dPt>
          <c:dPt>
            <c:idx val="3"/>
            <c:invertIfNegative val="0"/>
            <c:bubble3D val="0"/>
            <c:spPr>
              <a:pattFill prst="shingle">
                <a:fgClr>
                  <a:schemeClr val="tx1"/>
                </a:fgClr>
                <a:bgClr>
                  <a:schemeClr val="bg1"/>
                </a:bgClr>
              </a:pattFill>
              <a:ln>
                <a:solidFill>
                  <a:schemeClr val="tx1"/>
                </a:solidFill>
              </a:ln>
              <a:effectLst/>
            </c:spPr>
          </c:dPt>
          <c:dLbls>
            <c:dLbl>
              <c:idx val="0"/>
              <c:tx>
                <c:rich>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fld id="{5B4FBA46-8480-4148-AE3A-7E8996D3D4D2}" type="VALUE">
                      <a:rPr lang="en-US">
                        <a:solidFill>
                          <a:schemeClr val="tx1"/>
                        </a:solidFill>
                      </a:rPr>
                      <a:pPr>
                        <a:defRPr>
                          <a:solidFill>
                            <a:schemeClr val="tx1"/>
                          </a:solidFill>
                          <a:latin typeface="Arial" charset="0"/>
                          <a:ea typeface="Arial" charset="0"/>
                          <a:cs typeface="Arial" charset="0"/>
                        </a:defRPr>
                      </a:pPr>
                      <a:t>[VALUE]</a:t>
                    </a:fld>
                    <a:r>
                      <a:rPr lang="en-US">
                        <a:solidFill>
                          <a:schemeClr val="tx1"/>
                        </a:solidFill>
                      </a:rPr>
                      <a:t> </a:t>
                    </a:r>
                    <a:r>
                      <a:rPr lang="en-US" sz="900" b="0" i="0" u="none" strike="noStrike" baseline="0">
                        <a:solidFill>
                          <a:schemeClr val="tx1"/>
                        </a:solidFill>
                        <a:effectLst/>
                        <a:sym typeface="Symbol" charset="2"/>
                      </a:rPr>
                      <a:t></a:t>
                    </a:r>
                    <a:r>
                      <a:rPr lang="en-US" sz="900" b="0" i="0" u="none" strike="noStrike" baseline="0">
                        <a:solidFill>
                          <a:schemeClr val="tx1"/>
                        </a:solidFill>
                        <a:effectLst/>
                      </a:rPr>
                      <a:t> 4,08</a:t>
                    </a:r>
                    <a:r>
                      <a:rPr lang="en-US" sz="900" b="0" i="0" u="none" strike="noStrike" baseline="30000">
                        <a:solidFill>
                          <a:schemeClr val="tx1"/>
                        </a:solidFill>
                        <a:effectLst/>
                      </a:rPr>
                      <a:t>a</a:t>
                    </a:r>
                    <a:r>
                      <a:rPr lang="en-US">
                        <a:solidFill>
                          <a:schemeClr val="tx1"/>
                        </a:solidFill>
                      </a:rPr>
                      <a:t> </a:t>
                    </a:r>
                  </a:p>
                </c:rich>
              </c:tx>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endParaRPr lang="en-US"/>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dLbl>
              <c:idx val="1"/>
              <c:tx>
                <c:rich>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fld id="{EE5C3FCD-871F-374C-A495-B837BA054B8E}" type="VALUE">
                      <a:rPr lang="is-IS">
                        <a:solidFill>
                          <a:schemeClr val="tx1"/>
                        </a:solidFill>
                      </a:rPr>
                      <a:pPr>
                        <a:defRPr>
                          <a:solidFill>
                            <a:schemeClr val="tx1"/>
                          </a:solidFill>
                          <a:latin typeface="Arial" charset="0"/>
                          <a:ea typeface="Arial" charset="0"/>
                          <a:cs typeface="Arial" charset="0"/>
                        </a:defRPr>
                      </a:pPr>
                      <a:t>[VALUE]</a:t>
                    </a:fld>
                    <a:r>
                      <a:rPr lang="is-IS" sz="900" b="0" i="0" u="none" strike="noStrike" baseline="0">
                        <a:solidFill>
                          <a:schemeClr val="tx1"/>
                        </a:solidFill>
                        <a:effectLst/>
                        <a:sym typeface="Symbol" charset="2"/>
                      </a:rPr>
                      <a:t></a:t>
                    </a:r>
                    <a:r>
                      <a:rPr lang="is-IS" sz="900" b="0" i="0" u="none" strike="noStrike" baseline="0">
                        <a:solidFill>
                          <a:schemeClr val="tx1"/>
                        </a:solidFill>
                        <a:effectLst/>
                      </a:rPr>
                      <a:t> 2,36</a:t>
                    </a:r>
                    <a:r>
                      <a:rPr lang="is-IS" sz="900" b="0" i="0" u="none" strike="noStrike" baseline="30000">
                        <a:solidFill>
                          <a:schemeClr val="tx1"/>
                        </a:solidFill>
                        <a:effectLst/>
                      </a:rPr>
                      <a:t>a</a:t>
                    </a:r>
                  </a:p>
                </c:rich>
              </c:tx>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endParaRPr lang="en-US"/>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dLbl>
              <c:idx val="2"/>
              <c:tx>
                <c:rich>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fld id="{1A6550BF-3455-8A46-B1F7-C1DE33226A68}" type="VALUE">
                      <a:rPr lang="en-US">
                        <a:solidFill>
                          <a:schemeClr val="tx1"/>
                        </a:solidFill>
                      </a:rPr>
                      <a:pPr>
                        <a:defRPr>
                          <a:solidFill>
                            <a:schemeClr val="tx1"/>
                          </a:solidFill>
                          <a:latin typeface="Arial" charset="0"/>
                          <a:ea typeface="Arial" charset="0"/>
                          <a:cs typeface="Arial" charset="0"/>
                        </a:defRPr>
                      </a:pPr>
                      <a:t>[VALUE]</a:t>
                    </a:fld>
                    <a:r>
                      <a:rPr lang="en-US" sz="900" b="0" i="0" u="none" strike="noStrike" baseline="0">
                        <a:solidFill>
                          <a:schemeClr val="tx1"/>
                        </a:solidFill>
                        <a:effectLst/>
                        <a:sym typeface="Symbol" charset="2"/>
                      </a:rPr>
                      <a:t></a:t>
                    </a:r>
                    <a:r>
                      <a:rPr lang="en-US" sz="900" b="0" i="0" u="none" strike="noStrike" baseline="0">
                        <a:solidFill>
                          <a:schemeClr val="tx1"/>
                        </a:solidFill>
                        <a:effectLst/>
                      </a:rPr>
                      <a:t> 4,08</a:t>
                    </a:r>
                    <a:r>
                      <a:rPr lang="en-US" sz="900" b="0" i="0" u="none" strike="noStrike" baseline="30000">
                        <a:solidFill>
                          <a:schemeClr val="tx1"/>
                        </a:solidFill>
                        <a:effectLst/>
                      </a:rPr>
                      <a:t>a</a:t>
                    </a:r>
                  </a:p>
                </c:rich>
              </c:tx>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endParaRPr lang="en-US"/>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dLbl>
              <c:idx val="3"/>
              <c:tx>
                <c:rich>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fld id="{C736964C-500B-714F-9808-D6709CAC0F76}" type="VALUE">
                      <a:rPr lang="is-IS">
                        <a:solidFill>
                          <a:schemeClr val="tx1"/>
                        </a:solidFill>
                      </a:rPr>
                      <a:pPr>
                        <a:defRPr>
                          <a:solidFill>
                            <a:schemeClr val="tx1"/>
                          </a:solidFill>
                          <a:latin typeface="Arial" charset="0"/>
                          <a:ea typeface="Arial" charset="0"/>
                          <a:cs typeface="Arial" charset="0"/>
                        </a:defRPr>
                      </a:pPr>
                      <a:t>[VALUE]</a:t>
                    </a:fld>
                    <a:r>
                      <a:rPr lang="is-IS" sz="900" b="0" i="0" u="none" strike="noStrike" baseline="0">
                        <a:solidFill>
                          <a:schemeClr val="tx1"/>
                        </a:solidFill>
                        <a:effectLst/>
                        <a:sym typeface="Symbol" charset="2"/>
                      </a:rPr>
                      <a:t></a:t>
                    </a:r>
                    <a:r>
                      <a:rPr lang="is-IS" sz="900" b="0" i="0" u="none" strike="noStrike" baseline="0">
                        <a:solidFill>
                          <a:schemeClr val="tx1"/>
                        </a:solidFill>
                        <a:effectLst/>
                      </a:rPr>
                      <a:t> 2,36</a:t>
                    </a:r>
                    <a:r>
                      <a:rPr lang="is-IS" sz="900" b="0" i="0" u="none" strike="noStrike" baseline="30000">
                        <a:solidFill>
                          <a:schemeClr val="tx1"/>
                        </a:solidFill>
                        <a:effectLst/>
                      </a:rPr>
                      <a:t>a</a:t>
                    </a:r>
                  </a:p>
                </c:rich>
              </c:tx>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Arial" charset="0"/>
                      <a:ea typeface="Arial" charset="0"/>
                      <a:cs typeface="Arial" charset="0"/>
                    </a:defRPr>
                  </a:pPr>
                  <a:endParaRPr lang="en-US"/>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charset="0"/>
                    <a:ea typeface="Arial" charset="0"/>
                    <a:cs typeface="Arial" charset="0"/>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0"/>
            <c:spPr>
              <a:noFill/>
              <a:ln w="9525">
                <a:solidFill>
                  <a:schemeClr val="tx1">
                    <a:lumMod val="65000"/>
                    <a:lumOff val="35000"/>
                  </a:schemeClr>
                </a:solidFill>
                <a:round/>
              </a:ln>
              <a:effectLst/>
            </c:spPr>
          </c:errBars>
          <c:cat>
            <c:strRef>
              <c:f>Sintasan!$E$36:$E$39</c:f>
              <c:strCache>
                <c:ptCount val="4"/>
                <c:pt idx="0">
                  <c:v>A</c:v>
                </c:pt>
                <c:pt idx="1">
                  <c:v>B</c:v>
                </c:pt>
                <c:pt idx="2">
                  <c:v>C</c:v>
                </c:pt>
                <c:pt idx="3">
                  <c:v>D</c:v>
                </c:pt>
              </c:strCache>
            </c:strRef>
          </c:cat>
          <c:val>
            <c:numRef>
              <c:f>Sintasan!$F$36:$F$39</c:f>
              <c:numCache>
                <c:formatCode>0.00</c:formatCode>
                <c:ptCount val="4"/>
                <c:pt idx="0">
                  <c:v>95.0</c:v>
                </c:pt>
                <c:pt idx="1">
                  <c:v>96.66666666666667</c:v>
                </c:pt>
                <c:pt idx="2">
                  <c:v>95.0</c:v>
                </c:pt>
                <c:pt idx="3">
                  <c:v>96.66666666666667</c:v>
                </c:pt>
              </c:numCache>
            </c:numRef>
          </c:val>
        </c:ser>
        <c:dLbls>
          <c:showLegendKey val="0"/>
          <c:showVal val="0"/>
          <c:showCatName val="0"/>
          <c:showSerName val="0"/>
          <c:showPercent val="0"/>
          <c:showBubbleSize val="0"/>
        </c:dLbls>
        <c:gapWidth val="300"/>
        <c:axId val="754833488"/>
        <c:axId val="752812496"/>
      </c:barChart>
      <c:catAx>
        <c:axId val="75483348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r>
                  <a:rPr lang="en-US">
                    <a:solidFill>
                      <a:schemeClr val="tx1"/>
                    </a:solidFill>
                    <a:latin typeface="Arial" charset="0"/>
                    <a:ea typeface="Arial" charset="0"/>
                    <a:cs typeface="Arial" charset="0"/>
                  </a:rPr>
                  <a:t>treatment</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solidFill>
                <a:latin typeface="Arial" charset="0"/>
                <a:ea typeface="Arial" charset="0"/>
                <a:cs typeface="Arial" charset="0"/>
              </a:defRPr>
            </a:pPr>
            <a:endParaRPr lang="en-US"/>
          </a:p>
        </c:txPr>
        <c:crossAx val="752812496"/>
        <c:crosses val="autoZero"/>
        <c:auto val="1"/>
        <c:lblAlgn val="ctr"/>
        <c:lblOffset val="100"/>
        <c:noMultiLvlLbl val="0"/>
      </c:catAx>
      <c:valAx>
        <c:axId val="752812496"/>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r>
                  <a:rPr lang="en-US">
                    <a:solidFill>
                      <a:schemeClr val="tx1"/>
                    </a:solidFill>
                    <a:latin typeface="Arial" charset="0"/>
                    <a:ea typeface="Arial" charset="0"/>
                    <a:cs typeface="Arial" charset="0"/>
                  </a:rPr>
                  <a:t>survival rate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endParaRPr lang="en-US"/>
            </a:p>
          </c:txPr>
        </c:title>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Arial" charset="0"/>
                <a:ea typeface="Arial" charset="0"/>
                <a:cs typeface="Arial" charset="0"/>
              </a:defRPr>
            </a:pPr>
            <a:endParaRPr lang="en-US"/>
          </a:p>
        </c:txPr>
        <c:crossAx val="75483348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Sintasan!$F$42</c:f>
              <c:strCache>
                <c:ptCount val="1"/>
                <c:pt idx="0">
                  <c:v>WG</c:v>
                </c:pt>
              </c:strCache>
            </c:strRef>
          </c:tx>
          <c:spPr>
            <a:pattFill prst="horzBrick">
              <a:fgClr>
                <a:schemeClr val="tx1"/>
              </a:fgClr>
              <a:bgClr>
                <a:schemeClr val="bg1"/>
              </a:bgClr>
            </a:pattFill>
            <a:ln>
              <a:noFill/>
            </a:ln>
            <a:effectLst/>
          </c:spPr>
          <c:invertIfNegative val="0"/>
          <c:dPt>
            <c:idx val="0"/>
            <c:invertIfNegative val="0"/>
            <c:bubble3D val="0"/>
            <c:spPr>
              <a:pattFill prst="horzBrick">
                <a:fgClr>
                  <a:schemeClr val="tx1"/>
                </a:fgClr>
                <a:bgClr>
                  <a:schemeClr val="bg1"/>
                </a:bgClr>
              </a:pattFill>
              <a:ln>
                <a:solidFill>
                  <a:schemeClr val="tx1"/>
                </a:solidFill>
              </a:ln>
              <a:effectLst/>
            </c:spPr>
          </c:dPt>
          <c:dPt>
            <c:idx val="1"/>
            <c:invertIfNegative val="0"/>
            <c:bubble3D val="0"/>
            <c:spPr>
              <a:pattFill prst="wdDnDiag">
                <a:fgClr>
                  <a:schemeClr val="tx1"/>
                </a:fgClr>
                <a:bgClr>
                  <a:schemeClr val="bg1"/>
                </a:bgClr>
              </a:pattFill>
              <a:ln>
                <a:solidFill>
                  <a:schemeClr val="tx1"/>
                </a:solidFill>
              </a:ln>
              <a:effectLst/>
            </c:spPr>
          </c:dPt>
          <c:dPt>
            <c:idx val="2"/>
            <c:invertIfNegative val="0"/>
            <c:bubble3D val="0"/>
            <c:spPr>
              <a:pattFill prst="dotDmnd">
                <a:fgClr>
                  <a:schemeClr val="tx1"/>
                </a:fgClr>
                <a:bgClr>
                  <a:schemeClr val="bg1"/>
                </a:bgClr>
              </a:pattFill>
              <a:ln>
                <a:solidFill>
                  <a:schemeClr val="tx1"/>
                </a:solidFill>
              </a:ln>
              <a:effectLst/>
            </c:spPr>
          </c:dPt>
          <c:dPt>
            <c:idx val="3"/>
            <c:invertIfNegative val="0"/>
            <c:bubble3D val="0"/>
            <c:spPr>
              <a:pattFill prst="shingle">
                <a:fgClr>
                  <a:schemeClr val="tx1"/>
                </a:fgClr>
                <a:bgClr>
                  <a:schemeClr val="bg1"/>
                </a:bgClr>
              </a:pattFill>
              <a:ln>
                <a:solidFill>
                  <a:schemeClr val="tx1"/>
                </a:solidFill>
              </a:ln>
              <a:effectLst/>
            </c:spPr>
          </c:dPt>
          <c:dLbls>
            <c:dLbl>
              <c:idx val="0"/>
              <c:tx>
                <c:rich>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fld id="{180882C0-8B59-AF4F-AA5C-1DB43258C2BC}" type="VALUE">
                      <a:rPr lang="fi-FI"/>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t>[VALUE]</a:t>
                    </a:fld>
                    <a:r>
                      <a:rPr lang="fi-FI"/>
                      <a:t> </a:t>
                    </a:r>
                    <a:r>
                      <a:rPr lang="fi-FI" sz="1000">
                        <a:effectLst/>
                        <a:sym typeface="Symbol" charset="2"/>
                      </a:rPr>
                      <a:t> </a:t>
                    </a:r>
                    <a:r>
                      <a:rPr lang="fi-FI" sz="900">
                        <a:effectLst/>
                        <a:sym typeface="Symbol" charset="2"/>
                      </a:rPr>
                      <a:t>1,65</a:t>
                    </a:r>
                    <a:r>
                      <a:rPr lang="fi-FI" sz="900" baseline="30000">
                        <a:effectLst/>
                        <a:sym typeface="Symbol" charset="2"/>
                      </a:rPr>
                      <a:t>a</a:t>
                    </a:r>
                    <a:endParaRPr lang="fi-FI" sz="9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endParaRPr lang="en-US"/>
                  </a:p>
                </c:rich>
              </c:tx>
              <c:spPr>
                <a:noFill/>
                <a:ln>
                  <a:noFill/>
                </a:ln>
                <a:effectLst/>
              </c:spPr>
              <c:txPr>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dLbl>
              <c:idx val="1"/>
              <c:tx>
                <c:rich>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fld id="{2DC1C367-8D02-2E4B-B4E9-5994EA85C8EF}" type="VALUE">
                      <a:rPr lang="is-I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t>[VALUE]</a:t>
                    </a:fld>
                    <a:r>
                      <a:rPr lang="is-IS"/>
                      <a:t> </a:t>
                    </a:r>
                    <a:r>
                      <a:rPr lang="is-IS" sz="1000">
                        <a:effectLst/>
                        <a:sym typeface="Symbol" charset="2"/>
                      </a:rPr>
                      <a:t> </a:t>
                    </a:r>
                    <a:r>
                      <a:rPr lang="is-IS" sz="900">
                        <a:effectLst/>
                        <a:sym typeface="Symbol" charset="2"/>
                      </a:rPr>
                      <a:t>1,04</a:t>
                    </a:r>
                    <a:r>
                      <a:rPr lang="is-IS" sz="900" baseline="30000">
                        <a:effectLst/>
                        <a:sym typeface="Symbol" charset="2"/>
                      </a:rPr>
                      <a:t>a</a:t>
                    </a:r>
                    <a:endParaRPr lang="is-I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endParaRPr lang="en-US"/>
                  </a:p>
                </c:rich>
              </c:tx>
              <c:spPr>
                <a:noFill/>
                <a:ln>
                  <a:noFill/>
                </a:ln>
                <a:effectLst/>
              </c:spPr>
              <c:txPr>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dLbl>
              <c:idx val="2"/>
              <c:tx>
                <c:rich>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fld id="{AF2EDB85-B0B4-3240-9515-089E3A260178}" type="VALUE">
                      <a:rPr lang="is-I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t>[VALUE]</a:t>
                    </a:fld>
                    <a:r>
                      <a:rPr lang="is-IS"/>
                      <a:t> </a:t>
                    </a:r>
                    <a:r>
                      <a:rPr lang="is-IS" sz="1000">
                        <a:effectLst/>
                        <a:sym typeface="Symbol" charset="2"/>
                      </a:rPr>
                      <a:t> </a:t>
                    </a:r>
                    <a:r>
                      <a:rPr lang="is-IS" sz="900">
                        <a:effectLst/>
                        <a:sym typeface="Symbol" charset="2"/>
                      </a:rPr>
                      <a:t>2,06</a:t>
                    </a:r>
                    <a:r>
                      <a:rPr lang="is-IS" sz="900" baseline="30000">
                        <a:effectLst/>
                        <a:sym typeface="Symbol" charset="2"/>
                      </a:rPr>
                      <a:t>a</a:t>
                    </a:r>
                    <a:endParaRPr lang="is-IS" sz="9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endParaRPr lang="en-US"/>
                  </a:p>
                </c:rich>
              </c:tx>
              <c:spPr>
                <a:noFill/>
                <a:ln>
                  <a:noFill/>
                </a:ln>
                <a:effectLst/>
              </c:spPr>
              <c:txPr>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dLbl>
              <c:idx val="3"/>
              <c:tx>
                <c:rich>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fld id="{6F750345-3314-5946-912F-071B35707C46}" type="VALUE">
                      <a:rPr lang="fi-FI"/>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t>[VALUE]</a:t>
                    </a:fld>
                    <a:r>
                      <a:rPr lang="fi-FI"/>
                      <a:t> </a:t>
                    </a:r>
                    <a:r>
                      <a:rPr lang="fi-FI" sz="1000">
                        <a:effectLst/>
                        <a:sym typeface="Symbol" charset="2"/>
                      </a:rPr>
                      <a:t> </a:t>
                    </a:r>
                    <a:r>
                      <a:rPr lang="fi-FI" sz="900">
                        <a:effectLst/>
                        <a:sym typeface="Symbol" charset="2"/>
                      </a:rPr>
                      <a:t>2,31</a:t>
                    </a:r>
                    <a:r>
                      <a:rPr lang="fi-FI" sz="900" baseline="30000">
                        <a:effectLst/>
                        <a:sym typeface="Symbol" charset="2"/>
                      </a:rPr>
                      <a:t>a</a:t>
                    </a:r>
                    <a:endParaRPr lang="fi-FI" sz="9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Arial" charset="0"/>
                        <a:ea typeface="Arial" charset="0"/>
                        <a:cs typeface="Arial" charset="0"/>
                      </a:defRPr>
                    </a:pPr>
                    <a:endParaRPr lang="en-US"/>
                  </a:p>
                </c:rich>
              </c:tx>
              <c:spPr>
                <a:noFill/>
                <a:ln>
                  <a:noFill/>
                </a:ln>
                <a:effectLst/>
              </c:spPr>
              <c:txPr>
                <a:bodyPr rot="0" spcFirstLastPara="1" vertOverflow="clip" horzOverflow="clip" vert="horz" wrap="square" lIns="38100" tIns="19050" rIns="38100" bIns="19050" anchor="ctr" anchorCtr="0">
                  <a:no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charset="0"/>
                      <a:ea typeface="Arial" charset="0"/>
                      <a:cs typeface="Arial"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charset="0"/>
                    <a:ea typeface="Arial" charset="0"/>
                    <a:cs typeface="Arial"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0"/>
            <c:spPr>
              <a:noFill/>
              <a:ln w="9525">
                <a:solidFill>
                  <a:schemeClr val="tx1">
                    <a:lumMod val="65000"/>
                    <a:lumOff val="35000"/>
                  </a:schemeClr>
                </a:solidFill>
                <a:round/>
              </a:ln>
              <a:effectLst/>
            </c:spPr>
          </c:errBars>
          <c:cat>
            <c:strRef>
              <c:f>Sintasan!$E$43:$E$46</c:f>
              <c:strCache>
                <c:ptCount val="4"/>
                <c:pt idx="0">
                  <c:v>A</c:v>
                </c:pt>
                <c:pt idx="1">
                  <c:v>B</c:v>
                </c:pt>
                <c:pt idx="2">
                  <c:v>C</c:v>
                </c:pt>
                <c:pt idx="3">
                  <c:v>D</c:v>
                </c:pt>
              </c:strCache>
            </c:strRef>
          </c:cat>
          <c:val>
            <c:numRef>
              <c:f>Sintasan!$F$43:$F$46</c:f>
              <c:numCache>
                <c:formatCode>General</c:formatCode>
                <c:ptCount val="4"/>
                <c:pt idx="0">
                  <c:v>2.33</c:v>
                </c:pt>
                <c:pt idx="1">
                  <c:v>3.49</c:v>
                </c:pt>
                <c:pt idx="2" formatCode="0.00">
                  <c:v>2.8</c:v>
                </c:pt>
                <c:pt idx="3">
                  <c:v>2.93</c:v>
                </c:pt>
              </c:numCache>
            </c:numRef>
          </c:val>
        </c:ser>
        <c:dLbls>
          <c:showLegendKey val="0"/>
          <c:showVal val="0"/>
          <c:showCatName val="0"/>
          <c:showSerName val="0"/>
          <c:showPercent val="0"/>
          <c:showBubbleSize val="0"/>
        </c:dLbls>
        <c:gapWidth val="300"/>
        <c:axId val="754863536"/>
        <c:axId val="752831552"/>
      </c:barChart>
      <c:catAx>
        <c:axId val="75486353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r>
                  <a:rPr lang="en-US">
                    <a:solidFill>
                      <a:schemeClr val="tx1"/>
                    </a:solidFill>
                    <a:latin typeface="Arial" charset="0"/>
                    <a:ea typeface="Arial" charset="0"/>
                    <a:cs typeface="Arial" charset="0"/>
                  </a:rPr>
                  <a:t>treatment</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752831552"/>
        <c:crosses val="autoZero"/>
        <c:auto val="1"/>
        <c:lblAlgn val="ctr"/>
        <c:lblOffset val="100"/>
        <c:noMultiLvlLbl val="0"/>
      </c:catAx>
      <c:valAx>
        <c:axId val="75283155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r>
                  <a:rPr lang="en-US">
                    <a:solidFill>
                      <a:schemeClr val="tx1"/>
                    </a:solidFill>
                    <a:latin typeface="Arial" charset="0"/>
                    <a:ea typeface="Arial" charset="0"/>
                    <a:cs typeface="Arial" charset="0"/>
                  </a:rPr>
                  <a:t>body </a:t>
                </a:r>
                <a:r>
                  <a:rPr lang="en-US" baseline="0">
                    <a:solidFill>
                      <a:schemeClr val="tx1"/>
                    </a:solidFill>
                    <a:latin typeface="Arial" charset="0"/>
                    <a:ea typeface="Arial" charset="0"/>
                    <a:cs typeface="Arial" charset="0"/>
                  </a:rPr>
                  <a:t> weight</a:t>
                </a:r>
                <a:r>
                  <a:rPr lang="en-US">
                    <a:solidFill>
                      <a:schemeClr val="tx1"/>
                    </a:solidFill>
                    <a:latin typeface="Arial" charset="0"/>
                    <a:ea typeface="Arial" charset="0"/>
                    <a:cs typeface="Arial" charset="0"/>
                  </a:rPr>
                  <a:t>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charset="0"/>
                  <a:ea typeface="Arial" charset="0"/>
                  <a:cs typeface="Arial" charset="0"/>
                </a:defRPr>
              </a:pPr>
              <a:endParaRPr lang="en-US"/>
            </a:p>
          </c:txPr>
        </c:title>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Arial" charset="0"/>
                <a:ea typeface="Arial" charset="0"/>
                <a:cs typeface="Arial" charset="0"/>
              </a:defRPr>
            </a:pPr>
            <a:endParaRPr lang="en-US"/>
          </a:p>
        </c:txPr>
        <c:crossAx val="75486353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472310982655693"/>
          <c:y val="0.0584532374100719"/>
          <c:w val="0.921672142973517"/>
          <c:h val="0.868557007649548"/>
        </c:manualLayout>
      </c:layout>
      <c:barChart>
        <c:barDir val="col"/>
        <c:grouping val="clustered"/>
        <c:varyColors val="0"/>
        <c:ser>
          <c:idx val="0"/>
          <c:order val="0"/>
          <c:tx>
            <c:strRef>
              <c:f>Sintasan!$F$54</c:f>
              <c:strCache>
                <c:ptCount val="1"/>
                <c:pt idx="0">
                  <c:v>HSI (%)</c:v>
                </c:pt>
              </c:strCache>
            </c:strRef>
          </c:tx>
          <c:spPr>
            <a:pattFill prst="smCheck">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id-ID" sz="900" b="0"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errBars>
            <c:errBarType val="both"/>
            <c:errValType val="percentage"/>
            <c:noEndCap val="0"/>
            <c:val val="5.0"/>
            <c:spPr>
              <a:noFill/>
              <a:ln w="9525">
                <a:solidFill>
                  <a:schemeClr val="tx1">
                    <a:lumMod val="65000"/>
                    <a:lumOff val="35000"/>
                  </a:schemeClr>
                </a:solidFill>
                <a:round/>
              </a:ln>
              <a:effectLst/>
            </c:spPr>
          </c:errBars>
          <c:cat>
            <c:strRef>
              <c:f>Sintasan!$E$55:$E$58</c:f>
              <c:strCache>
                <c:ptCount val="4"/>
                <c:pt idx="0">
                  <c:v>A</c:v>
                </c:pt>
                <c:pt idx="1">
                  <c:v>B</c:v>
                </c:pt>
                <c:pt idx="2">
                  <c:v>C</c:v>
                </c:pt>
                <c:pt idx="3">
                  <c:v>D</c:v>
                </c:pt>
              </c:strCache>
            </c:strRef>
          </c:cat>
          <c:val>
            <c:numRef>
              <c:f>Sintasan!$F$55:$F$58</c:f>
              <c:numCache>
                <c:formatCode>General</c:formatCode>
                <c:ptCount val="4"/>
                <c:pt idx="0">
                  <c:v>0.57</c:v>
                </c:pt>
                <c:pt idx="1">
                  <c:v>1.385</c:v>
                </c:pt>
                <c:pt idx="2">
                  <c:v>1.007</c:v>
                </c:pt>
                <c:pt idx="3">
                  <c:v>0.68</c:v>
                </c:pt>
              </c:numCache>
            </c:numRef>
          </c:val>
        </c:ser>
        <c:ser>
          <c:idx val="1"/>
          <c:order val="1"/>
          <c:tx>
            <c:strRef>
              <c:f>Sintasan!$G$54</c:f>
              <c:strCache>
                <c:ptCount val="1"/>
                <c:pt idx="0">
                  <c:v>DSI (%)</c:v>
                </c:pt>
              </c:strCache>
            </c:strRef>
          </c:tx>
          <c:spPr>
            <a:pattFill prst="ltHorz">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id-ID" sz="900" b="0"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errBars>
            <c:errBarType val="both"/>
            <c:errValType val="percentage"/>
            <c:noEndCap val="0"/>
            <c:val val="5.0"/>
            <c:spPr>
              <a:noFill/>
              <a:ln w="9525">
                <a:solidFill>
                  <a:schemeClr val="tx1">
                    <a:lumMod val="65000"/>
                    <a:lumOff val="35000"/>
                  </a:schemeClr>
                </a:solidFill>
                <a:round/>
              </a:ln>
              <a:effectLst/>
            </c:spPr>
          </c:errBars>
          <c:cat>
            <c:strRef>
              <c:f>Sintasan!$E$55:$E$58</c:f>
              <c:strCache>
                <c:ptCount val="4"/>
                <c:pt idx="0">
                  <c:v>A</c:v>
                </c:pt>
                <c:pt idx="1">
                  <c:v>B</c:v>
                </c:pt>
                <c:pt idx="2">
                  <c:v>C</c:v>
                </c:pt>
                <c:pt idx="3">
                  <c:v>D</c:v>
                </c:pt>
              </c:strCache>
            </c:strRef>
          </c:cat>
          <c:val>
            <c:numRef>
              <c:f>Sintasan!$G$55:$G$58</c:f>
              <c:numCache>
                <c:formatCode>General</c:formatCode>
                <c:ptCount val="4"/>
                <c:pt idx="0">
                  <c:v>2.36</c:v>
                </c:pt>
                <c:pt idx="1">
                  <c:v>3.488</c:v>
                </c:pt>
                <c:pt idx="2">
                  <c:v>6.231</c:v>
                </c:pt>
                <c:pt idx="3">
                  <c:v>5.981</c:v>
                </c:pt>
              </c:numCache>
            </c:numRef>
          </c:val>
        </c:ser>
        <c:ser>
          <c:idx val="2"/>
          <c:order val="2"/>
          <c:tx>
            <c:strRef>
              <c:f>Sintasan!$H$54</c:f>
              <c:strCache>
                <c:ptCount val="1"/>
                <c:pt idx="0">
                  <c:v>K (g/cm3)</c:v>
                </c:pt>
              </c:strCache>
            </c:strRef>
          </c:tx>
          <c:spPr>
            <a:pattFill prst="lgConfetti">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id-ID" sz="900" b="0"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errBars>
            <c:errBarType val="both"/>
            <c:errValType val="percentage"/>
            <c:noEndCap val="0"/>
            <c:val val="5.0"/>
            <c:spPr>
              <a:noFill/>
              <a:ln w="9525">
                <a:solidFill>
                  <a:schemeClr val="tx1">
                    <a:lumMod val="65000"/>
                    <a:lumOff val="35000"/>
                  </a:schemeClr>
                </a:solidFill>
                <a:round/>
              </a:ln>
              <a:effectLst/>
            </c:spPr>
          </c:errBars>
          <c:cat>
            <c:strRef>
              <c:f>Sintasan!$E$55:$E$58</c:f>
              <c:strCache>
                <c:ptCount val="4"/>
                <c:pt idx="0">
                  <c:v>A</c:v>
                </c:pt>
                <c:pt idx="1">
                  <c:v>B</c:v>
                </c:pt>
                <c:pt idx="2">
                  <c:v>C</c:v>
                </c:pt>
                <c:pt idx="3">
                  <c:v>D</c:v>
                </c:pt>
              </c:strCache>
            </c:strRef>
          </c:cat>
          <c:val>
            <c:numRef>
              <c:f>Sintasan!$H$55:$H$58</c:f>
              <c:numCache>
                <c:formatCode>General</c:formatCode>
                <c:ptCount val="4"/>
                <c:pt idx="0">
                  <c:v>1.02</c:v>
                </c:pt>
                <c:pt idx="1">
                  <c:v>1.097</c:v>
                </c:pt>
                <c:pt idx="2">
                  <c:v>1.12</c:v>
                </c:pt>
                <c:pt idx="3">
                  <c:v>1.167</c:v>
                </c:pt>
              </c:numCache>
            </c:numRef>
          </c:val>
        </c:ser>
        <c:dLbls>
          <c:showLegendKey val="0"/>
          <c:showVal val="1"/>
          <c:showCatName val="0"/>
          <c:showSerName val="0"/>
          <c:showPercent val="0"/>
          <c:showBubbleSize val="0"/>
        </c:dLbls>
        <c:gapWidth val="219"/>
        <c:overlap val="-27"/>
        <c:axId val="754930048"/>
        <c:axId val="754932096"/>
      </c:barChart>
      <c:catAx>
        <c:axId val="75493004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defRPr>
            </a:pPr>
            <a:endParaRPr lang="en-US"/>
          </a:p>
        </c:txPr>
        <c:crossAx val="754932096"/>
        <c:crosses val="autoZero"/>
        <c:auto val="1"/>
        <c:lblAlgn val="ctr"/>
        <c:lblOffset val="100"/>
        <c:noMultiLvlLbl val="0"/>
      </c:catAx>
      <c:valAx>
        <c:axId val="754932096"/>
        <c:scaling>
          <c:orientation val="minMax"/>
        </c:scaling>
        <c:delete val="0"/>
        <c:axPos val="l"/>
        <c:majorGridlines>
          <c:spPr>
            <a:ln w="9525">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defRPr>
            </a:pPr>
            <a:endParaRPr lang="en-US"/>
          </a:p>
        </c:txPr>
        <c:crossAx val="754930048"/>
        <c:crosses val="autoZero"/>
        <c:crossBetween val="between"/>
      </c:valAx>
      <c:spPr>
        <a:noFill/>
        <a:ln>
          <a:noFill/>
        </a:ln>
        <a:effectLst/>
      </c:spPr>
    </c:plotArea>
    <c:legend>
      <c:legendPos val="b"/>
      <c:layout>
        <c:manualLayout>
          <c:xMode val="edge"/>
          <c:yMode val="edge"/>
          <c:x val="0.0587246561886976"/>
          <c:y val="0.132421189033026"/>
          <c:w val="0.148188580840743"/>
          <c:h val="0.242578810966974"/>
        </c:manualLayout>
      </c:layout>
      <c:overlay val="0"/>
      <c:spPr>
        <a:noFill/>
        <a:ln>
          <a:noFill/>
        </a:ln>
        <a:effectLst/>
      </c:spPr>
      <c:txPr>
        <a:bodyPr rot="0" spcFirstLastPara="1" vertOverflow="ellipsis" vert="horz" wrap="square" anchor="ctr" anchorCtr="1"/>
        <a:lstStyle/>
        <a:p>
          <a:pPr>
            <a:defRPr lang="id-ID"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id-ID"/>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om/android/officeDocument/2013/mofficeCustomData" xmlns:mcd="http://www.wps.com/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22882-5561-4888-BF36-7C52D2E37EE1}">
  <ds:schemaRefs>
    <ds:schemaRef ds:uri="http://www.wps.com/android/officeDocument/2013/mofficeCustomData"/>
  </ds:schemaRefs>
</ds:datastoreItem>
</file>

<file path=customXml/itemProps3.xml><?xml version="1.0" encoding="utf-8"?>
<ds:datastoreItem xmlns:ds="http://schemas.openxmlformats.org/officeDocument/2006/customXml" ds:itemID="{BEBBD9C8-883A-7C47-A0AA-B77B1041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4759</Words>
  <Characters>27128</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c:creator>
  <cp:lastModifiedBy>Microsoft Office User</cp:lastModifiedBy>
  <cp:revision>2</cp:revision>
  <dcterms:created xsi:type="dcterms:W3CDTF">2021-08-18T14:41:00Z</dcterms:created>
  <dcterms:modified xsi:type="dcterms:W3CDTF">2021-08-18T14:41:00Z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CA0FB877687A4D139BCEC00415C2673D</vt:lpwstr>
  </property>
  <property fmtid="{D5CDD505-2E9C-101B-9397-08002B2CF9AE}" pid="3" name="KSOProductBuildVer">
    <vt:lpwstr>1033-11.2.0.10223</vt:lpwstr>
  </property>
</Properties>
</file>