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DA433" w14:textId="77777777" w:rsidR="00214D2E" w:rsidRDefault="00214D2E" w:rsidP="00214D2E">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COVER PAGE</w:t>
      </w:r>
    </w:p>
    <w:p w14:paraId="66AE9913" w14:textId="77777777" w:rsidR="00214D2E" w:rsidRDefault="00214D2E" w:rsidP="00214D2E">
      <w:pPr>
        <w:pBdr>
          <w:top w:val="nil"/>
          <w:left w:val="nil"/>
          <w:bottom w:val="nil"/>
          <w:right w:val="nil"/>
          <w:between w:val="nil"/>
        </w:pBdr>
        <w:spacing w:after="0" w:line="240" w:lineRule="auto"/>
        <w:ind w:left="284" w:hanging="284"/>
      </w:pPr>
    </w:p>
    <w:p w14:paraId="4323FFE0"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Manuscript Title </w:t>
      </w:r>
    </w:p>
    <w:p w14:paraId="6823DF21" w14:textId="77777777" w:rsidR="00214D2E" w:rsidRPr="004976CA" w:rsidRDefault="00214D2E" w:rsidP="00214D2E">
      <w:pPr>
        <w:pBdr>
          <w:top w:val="nil"/>
          <w:left w:val="nil"/>
          <w:bottom w:val="nil"/>
          <w:right w:val="nil"/>
          <w:between w:val="nil"/>
        </w:pBdr>
        <w:spacing w:after="0" w:line="240" w:lineRule="auto"/>
        <w:ind w:left="284"/>
        <w:jc w:val="center"/>
        <w:rPr>
          <w:rFonts w:ascii="Times New Roman" w:eastAsia="Times New Roman" w:hAnsi="Times New Roman" w:cs="Times New Roman"/>
          <w:b/>
          <w:color w:val="000000"/>
          <w:sz w:val="18"/>
          <w:szCs w:val="18"/>
        </w:rPr>
      </w:pPr>
    </w:p>
    <w:p w14:paraId="2E793855" w14:textId="678BFBCD" w:rsidR="00451B4E" w:rsidRPr="00451B4E" w:rsidRDefault="00451B4E" w:rsidP="00214D2E">
      <w:pPr>
        <w:pBdr>
          <w:top w:val="nil"/>
          <w:left w:val="nil"/>
          <w:bottom w:val="nil"/>
          <w:right w:val="nil"/>
          <w:between w:val="nil"/>
        </w:pBdr>
        <w:spacing w:line="240" w:lineRule="auto"/>
        <w:jc w:val="center"/>
        <w:rPr>
          <w:rFonts w:ascii="Times New Roman" w:eastAsia="Times New Roman" w:hAnsi="Times New Roman" w:cs="Times New Roman"/>
          <w:bCs/>
          <w:color w:val="000000"/>
        </w:rPr>
      </w:pPr>
      <w:bookmarkStart w:id="0" w:name="_Hlk181908747"/>
      <w:r w:rsidRPr="00451B4E">
        <w:rPr>
          <w:rFonts w:ascii="Times New Roman" w:eastAsia="Book Antiqua" w:hAnsi="Times New Roman" w:cs="Times New Roman"/>
          <w:bCs/>
          <w:sz w:val="24"/>
          <w:szCs w:val="24"/>
        </w:rPr>
        <w:t>Genetic Parameters And Yield Potential Of Indonesia Soybean Varieties (</w:t>
      </w:r>
      <w:r w:rsidRPr="00451B4E">
        <w:rPr>
          <w:rFonts w:ascii="Times New Roman" w:eastAsia="Book Antiqua" w:hAnsi="Times New Roman" w:cs="Times New Roman"/>
          <w:bCs/>
          <w:i/>
          <w:iCs/>
          <w:sz w:val="24"/>
          <w:szCs w:val="24"/>
        </w:rPr>
        <w:t>Glycine Max</w:t>
      </w:r>
      <w:r w:rsidRPr="00451B4E">
        <w:rPr>
          <w:rFonts w:ascii="Times New Roman" w:eastAsia="Book Antiqua" w:hAnsi="Times New Roman" w:cs="Times New Roman"/>
          <w:bCs/>
          <w:sz w:val="24"/>
          <w:szCs w:val="24"/>
        </w:rPr>
        <w:t xml:space="preserve"> L.) In Wetland During Dry Season</w:t>
      </w:r>
    </w:p>
    <w:bookmarkEnd w:id="0"/>
    <w:p w14:paraId="3A7A3731" w14:textId="435BD430" w:rsidR="00370751" w:rsidRPr="004976CA" w:rsidRDefault="00370751" w:rsidP="0037075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4976CA">
        <w:rPr>
          <w:rFonts w:ascii="Times New Roman" w:eastAsia="Times New Roman" w:hAnsi="Times New Roman" w:cs="Times New Roman"/>
          <w:color w:val="000000"/>
          <w:sz w:val="24"/>
          <w:szCs w:val="24"/>
        </w:rPr>
        <w:t xml:space="preserve">Fadila Ridara </w:t>
      </w:r>
      <w:r w:rsidRPr="004976CA">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rPr>
        <w:t>, Riska Fitriani</w:t>
      </w:r>
      <w:r>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Azka Algina</w:t>
      </w:r>
      <w:r>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Debby Ustari</w:t>
      </w:r>
      <w:r>
        <w:rPr>
          <w:rFonts w:ascii="Times New Roman" w:eastAsia="Times New Roman" w:hAnsi="Times New Roman" w:cs="Times New Roman"/>
          <w:color w:val="000000"/>
          <w:sz w:val="24"/>
          <w:szCs w:val="24"/>
          <w:vertAlign w:val="superscript"/>
        </w:rPr>
        <w:t>1,2</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xml:space="preserve"> and Agung Karuniawan</w:t>
      </w:r>
      <w:r>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p>
    <w:p w14:paraId="366FC2BB"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First author: </w:t>
      </w:r>
    </w:p>
    <w:p w14:paraId="788E4EE8" w14:textId="77777777" w:rsidR="00214D2E" w:rsidRDefault="00214D2E" w:rsidP="00214D2E">
      <w:pPr>
        <w:numPr>
          <w:ilvl w:val="0"/>
          <w:numId w:val="4"/>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Fadila Ridara</w:t>
      </w:r>
    </w:p>
    <w:p w14:paraId="0676055C" w14:textId="77777777" w:rsidR="00214D2E" w:rsidRPr="00BB3265" w:rsidRDefault="00214D2E" w:rsidP="00214D2E">
      <w:pPr>
        <w:numPr>
          <w:ilvl w:val="0"/>
          <w:numId w:val="4"/>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Afiliation</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r w:rsidRPr="00BB3265">
        <w:rPr>
          <w:rFonts w:ascii="Times New Roman" w:hAnsi="Times New Roman" w:cs="Times New Roman"/>
          <w:sz w:val="20"/>
          <w:szCs w:val="20"/>
        </w:rPr>
        <w:t>Faculty of Agriculture, Universitas Padjadjaran, Bandung, Indonesia</w:t>
      </w:r>
    </w:p>
    <w:p w14:paraId="78B83D43" w14:textId="77777777" w:rsidR="00214D2E" w:rsidRDefault="00214D2E" w:rsidP="00214D2E">
      <w:pPr>
        <w:numPr>
          <w:ilvl w:val="0"/>
          <w:numId w:val="4"/>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fadilaridaralf@gmail.com</w:t>
      </w:r>
    </w:p>
    <w:p w14:paraId="4F131EF0" w14:textId="77777777" w:rsidR="00214D2E" w:rsidRDefault="00214D2E" w:rsidP="00214D2E">
      <w:pPr>
        <w:numPr>
          <w:ilvl w:val="0"/>
          <w:numId w:val="4"/>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Orcid ID</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hyperlink r:id="rId9" w:history="1">
        <w:r w:rsidRPr="00560E11">
          <w:rPr>
            <w:rStyle w:val="Hyperlink"/>
            <w:rFonts w:ascii="Times New Roman" w:eastAsia="Times New Roman" w:hAnsi="Times New Roman" w:cs="Times New Roman"/>
            <w:sz w:val="20"/>
            <w:szCs w:val="20"/>
          </w:rPr>
          <w:t>https://orcid.org/0009-0002-3782-5455</w:t>
        </w:r>
      </w:hyperlink>
      <w:r>
        <w:rPr>
          <w:rFonts w:ascii="Times New Roman" w:eastAsia="Times New Roman" w:hAnsi="Times New Roman" w:cs="Times New Roman"/>
          <w:color w:val="000000"/>
          <w:sz w:val="20"/>
          <w:szCs w:val="20"/>
        </w:rPr>
        <w:t xml:space="preserve"> </w:t>
      </w:r>
    </w:p>
    <w:p w14:paraId="2B96B0BC" w14:textId="77777777" w:rsidR="00214D2E" w:rsidRDefault="00214D2E" w:rsidP="00214D2E">
      <w:pPr>
        <w:numPr>
          <w:ilvl w:val="0"/>
          <w:numId w:val="4"/>
        </w:numPr>
        <w:pBdr>
          <w:top w:val="nil"/>
          <w:left w:val="nil"/>
          <w:bottom w:val="nil"/>
          <w:right w:val="nil"/>
          <w:between w:val="nil"/>
        </w:pBdr>
        <w:spacing w:after="0" w:line="240" w:lineRule="auto"/>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Contribution to this Manuscript: </w:t>
      </w:r>
      <w:r w:rsidRPr="00D27535">
        <w:rPr>
          <w:rFonts w:ascii="Times New Roman" w:eastAsia="Times New Roman" w:hAnsi="Times New Roman" w:cs="Times New Roman"/>
          <w:color w:val="000000"/>
          <w:sz w:val="20"/>
          <w:szCs w:val="20"/>
          <w:lang w:val="en-US"/>
        </w:rPr>
        <w:t>Writing-review &amp; editing, Writing-original draft, Formal analysis, Data curation.</w:t>
      </w:r>
    </w:p>
    <w:p w14:paraId="4F06E414"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Second author: </w:t>
      </w:r>
    </w:p>
    <w:p w14:paraId="5668AD8E" w14:textId="77777777" w:rsidR="00214D2E" w:rsidRDefault="00214D2E" w:rsidP="00214D2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Riska Fitriani</w:t>
      </w:r>
    </w:p>
    <w:p w14:paraId="08D6F5B5" w14:textId="77777777" w:rsidR="00214D2E" w:rsidRDefault="00214D2E" w:rsidP="00214D2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Afiliation</w:t>
      </w:r>
      <w:r>
        <w:rPr>
          <w:rFonts w:ascii="Times New Roman" w:eastAsia="Times New Roman" w:hAnsi="Times New Roman" w:cs="Times New Roman"/>
          <w:color w:val="000000"/>
          <w:sz w:val="20"/>
          <w:szCs w:val="20"/>
        </w:rPr>
        <w:tab/>
        <w:t xml:space="preserve">: </w:t>
      </w:r>
      <w:r w:rsidRPr="003A2384">
        <w:rPr>
          <w:rFonts w:ascii="Times New Roman" w:hAnsi="Times New Roman" w:cs="Times New Roman"/>
          <w:sz w:val="20"/>
          <w:szCs w:val="20"/>
        </w:rPr>
        <w:t>Faculty of Agriculture, Universitas Padjadjaran, Bandung, Indonesia</w:t>
      </w:r>
    </w:p>
    <w:p w14:paraId="399CE16B" w14:textId="77777777" w:rsidR="00214D2E" w:rsidRDefault="00214D2E" w:rsidP="00214D2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riskafitriani1121@gmail.com</w:t>
      </w:r>
    </w:p>
    <w:p w14:paraId="52809658" w14:textId="5F70685B" w:rsidR="00214D2E" w:rsidRDefault="00214D2E" w:rsidP="00214D2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Orcid ID</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 </w:t>
      </w:r>
    </w:p>
    <w:p w14:paraId="2A148AF5" w14:textId="77777777" w:rsidR="00214D2E" w:rsidRDefault="00214D2E" w:rsidP="00214D2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Contribution to this Manuscript: </w:t>
      </w:r>
      <w:r w:rsidRPr="00D27535">
        <w:rPr>
          <w:rFonts w:ascii="Times New Roman" w:eastAsia="Times New Roman" w:hAnsi="Times New Roman" w:cs="Times New Roman"/>
          <w:color w:val="000000"/>
          <w:sz w:val="20"/>
          <w:szCs w:val="20"/>
          <w:lang w:val="en-US"/>
        </w:rPr>
        <w:t xml:space="preserve">Methodology, </w:t>
      </w:r>
      <w:r>
        <w:rPr>
          <w:rFonts w:ascii="Times New Roman" w:eastAsia="Times New Roman" w:hAnsi="Times New Roman" w:cs="Times New Roman"/>
          <w:color w:val="000000"/>
          <w:sz w:val="20"/>
          <w:szCs w:val="20"/>
          <w:lang w:val="en-US"/>
        </w:rPr>
        <w:t>I</w:t>
      </w:r>
      <w:r w:rsidRPr="00D27535">
        <w:rPr>
          <w:rFonts w:ascii="Times New Roman" w:eastAsia="Times New Roman" w:hAnsi="Times New Roman" w:cs="Times New Roman"/>
          <w:color w:val="000000"/>
          <w:sz w:val="20"/>
          <w:szCs w:val="20"/>
          <w:lang w:val="en-US"/>
        </w:rPr>
        <w:t>nvestigation</w:t>
      </w:r>
      <w:r>
        <w:rPr>
          <w:rFonts w:ascii="Times New Roman" w:eastAsia="Times New Roman" w:hAnsi="Times New Roman" w:cs="Times New Roman"/>
          <w:color w:val="000000"/>
          <w:sz w:val="20"/>
          <w:szCs w:val="20"/>
          <w:lang w:val="en-US"/>
        </w:rPr>
        <w:t xml:space="preserve"> and data curation</w:t>
      </w:r>
    </w:p>
    <w:p w14:paraId="71239C70"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Third author: </w:t>
      </w:r>
    </w:p>
    <w:p w14:paraId="7E3560CE" w14:textId="77777777" w:rsidR="00214D2E" w:rsidRDefault="00214D2E" w:rsidP="00214D2E">
      <w:pPr>
        <w:numPr>
          <w:ilvl w:val="3"/>
          <w:numId w:val="5"/>
        </w:num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Debby Ustari</w:t>
      </w:r>
    </w:p>
    <w:p w14:paraId="60CFC33C" w14:textId="77777777" w:rsidR="00214D2E" w:rsidRPr="00D27535" w:rsidRDefault="00214D2E" w:rsidP="00214D2E">
      <w:pPr>
        <w:numPr>
          <w:ilvl w:val="3"/>
          <w:numId w:val="5"/>
        </w:num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Afiliation</w:t>
      </w:r>
      <w:r>
        <w:rPr>
          <w:rFonts w:ascii="Times New Roman" w:eastAsia="Times New Roman" w:hAnsi="Times New Roman" w:cs="Times New Roman"/>
          <w:color w:val="000000"/>
          <w:sz w:val="20"/>
          <w:szCs w:val="20"/>
        </w:rPr>
        <w:tab/>
        <w:t xml:space="preserve">: </w:t>
      </w:r>
      <w:r w:rsidRPr="00D27535">
        <w:rPr>
          <w:rFonts w:ascii="Times New Roman" w:hAnsi="Times New Roman" w:cs="Times New Roman"/>
          <w:sz w:val="20"/>
          <w:szCs w:val="20"/>
        </w:rPr>
        <w:t>Faculty of Agriculture, Universitas Padjadjaran, Bandung, Indonesia</w:t>
      </w:r>
    </w:p>
    <w:p w14:paraId="1D81AD24" w14:textId="77777777" w:rsidR="00214D2E" w:rsidRDefault="00214D2E" w:rsidP="00214D2E">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sidRPr="00D27535">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w:t>
      </w:r>
      <w:r w:rsidRPr="00D27535">
        <w:rPr>
          <w:rFonts w:ascii="Times New Roman" w:hAnsi="Times New Roman" w:cs="Times New Roman"/>
          <w:sz w:val="20"/>
          <w:szCs w:val="20"/>
        </w:rPr>
        <w:t xml:space="preserve"> Faculty of Agriculture, Universitas Islam Nusantara, Bandung, Indonesia</w:t>
      </w:r>
    </w:p>
    <w:p w14:paraId="12DBF77A" w14:textId="77777777" w:rsidR="00214D2E" w:rsidRPr="006013F1" w:rsidRDefault="00214D2E" w:rsidP="00214D2E">
      <w:pPr>
        <w:numPr>
          <w:ilvl w:val="3"/>
          <w:numId w:val="5"/>
        </w:num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r w:rsidRPr="006013F1">
        <w:rPr>
          <w:rFonts w:ascii="Times New Roman" w:eastAsia="Times New Roman" w:hAnsi="Times New Roman" w:cs="Times New Roman"/>
          <w:color w:val="000000"/>
          <w:sz w:val="20"/>
          <w:szCs w:val="20"/>
          <w:lang w:val="en-US"/>
        </w:rPr>
        <w:t>debbyustari@gmail.com</w:t>
      </w:r>
    </w:p>
    <w:p w14:paraId="1BB1BC0B" w14:textId="77777777" w:rsidR="00214D2E" w:rsidRDefault="00214D2E" w:rsidP="00214D2E">
      <w:pPr>
        <w:numPr>
          <w:ilvl w:val="3"/>
          <w:numId w:val="5"/>
        </w:num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Orcid ID</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hyperlink r:id="rId10" w:history="1">
        <w:r w:rsidRPr="00560E11">
          <w:rPr>
            <w:rStyle w:val="Hyperlink"/>
            <w:rFonts w:ascii="Times New Roman" w:eastAsia="Times New Roman" w:hAnsi="Times New Roman" w:cs="Times New Roman"/>
            <w:sz w:val="20"/>
            <w:szCs w:val="20"/>
          </w:rPr>
          <w:t>https://orcid.org/0000-0002-0929-0425</w:t>
        </w:r>
      </w:hyperlink>
      <w:r>
        <w:rPr>
          <w:rFonts w:ascii="Times New Roman" w:eastAsia="Times New Roman" w:hAnsi="Times New Roman" w:cs="Times New Roman"/>
          <w:color w:val="000000"/>
          <w:sz w:val="20"/>
          <w:szCs w:val="20"/>
        </w:rPr>
        <w:t xml:space="preserve"> </w:t>
      </w:r>
    </w:p>
    <w:p w14:paraId="0C87B8BB" w14:textId="77777777" w:rsidR="00214D2E" w:rsidRDefault="00214D2E" w:rsidP="00214D2E">
      <w:pPr>
        <w:numPr>
          <w:ilvl w:val="3"/>
          <w:numId w:val="5"/>
        </w:num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Contribution to this Manuscript: </w:t>
      </w:r>
      <w:r w:rsidRPr="00D27535">
        <w:rPr>
          <w:rFonts w:ascii="Times New Roman" w:eastAsia="Times New Roman" w:hAnsi="Times New Roman" w:cs="Times New Roman"/>
          <w:color w:val="000000"/>
          <w:sz w:val="20"/>
          <w:szCs w:val="20"/>
          <w:lang w:val="en-US"/>
        </w:rPr>
        <w:t>Conceptualization, Writing, Investigation, Methodology, Formal analysis.</w:t>
      </w:r>
    </w:p>
    <w:p w14:paraId="4DC6A364"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w:t>
      </w:r>
      <w:r w:rsidRPr="006463FB">
        <w:rPr>
          <w:rFonts w:ascii="Times New Roman" w:eastAsia="Times New Roman" w:hAnsi="Times New Roman" w:cs="Times New Roman"/>
          <w:b/>
          <w:color w:val="000000"/>
          <w:sz w:val="20"/>
          <w:szCs w:val="20"/>
        </w:rPr>
        <w:t>ourth</w:t>
      </w:r>
      <w:r>
        <w:rPr>
          <w:rFonts w:ascii="Times New Roman" w:eastAsia="Times New Roman" w:hAnsi="Times New Roman" w:cs="Times New Roman"/>
          <w:b/>
          <w:color w:val="000000"/>
          <w:sz w:val="20"/>
          <w:szCs w:val="20"/>
        </w:rPr>
        <w:t xml:space="preserve"> author: </w:t>
      </w:r>
    </w:p>
    <w:p w14:paraId="58771BC7" w14:textId="77777777" w:rsidR="00214D2E" w:rsidRDefault="00214D2E" w:rsidP="00214D2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Azka Algina</w:t>
      </w:r>
    </w:p>
    <w:p w14:paraId="6C718312" w14:textId="77777777" w:rsidR="00214D2E" w:rsidRDefault="00214D2E" w:rsidP="00214D2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Afiliation</w:t>
      </w:r>
      <w:r>
        <w:rPr>
          <w:rFonts w:ascii="Times New Roman" w:eastAsia="Times New Roman" w:hAnsi="Times New Roman" w:cs="Times New Roman"/>
          <w:color w:val="000000"/>
          <w:sz w:val="20"/>
          <w:szCs w:val="20"/>
        </w:rPr>
        <w:tab/>
        <w:t xml:space="preserve">: </w:t>
      </w:r>
      <w:r w:rsidRPr="00D84FC1">
        <w:rPr>
          <w:rFonts w:ascii="Book Antiqua" w:hAnsi="Book Antiqua" w:cs="Times New Roman"/>
          <w:sz w:val="20"/>
          <w:szCs w:val="20"/>
        </w:rPr>
        <w:t>Faculty of Agriculture, Universitas Padjadjaran, Bandung, Indonesia</w:t>
      </w:r>
    </w:p>
    <w:p w14:paraId="59BE4B50" w14:textId="77777777" w:rsidR="00214D2E" w:rsidRDefault="00214D2E" w:rsidP="00214D2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azkalghina@gmail.com</w:t>
      </w:r>
    </w:p>
    <w:p w14:paraId="745C2CFA" w14:textId="77777777" w:rsidR="00214D2E" w:rsidRDefault="00214D2E" w:rsidP="00214D2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Orcid ID</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hyperlink r:id="rId11" w:history="1">
        <w:r w:rsidRPr="00560E11">
          <w:rPr>
            <w:rStyle w:val="Hyperlink"/>
            <w:rFonts w:ascii="Times New Roman" w:eastAsia="Times New Roman" w:hAnsi="Times New Roman" w:cs="Times New Roman"/>
            <w:sz w:val="20"/>
            <w:szCs w:val="20"/>
          </w:rPr>
          <w:t>https://orcid.org/0009-0006-8245-9481</w:t>
        </w:r>
      </w:hyperlink>
      <w:r>
        <w:rPr>
          <w:rFonts w:ascii="Times New Roman" w:eastAsia="Times New Roman" w:hAnsi="Times New Roman" w:cs="Times New Roman"/>
          <w:color w:val="000000"/>
          <w:sz w:val="20"/>
          <w:szCs w:val="20"/>
        </w:rPr>
        <w:t xml:space="preserve"> </w:t>
      </w:r>
    </w:p>
    <w:p w14:paraId="0F3668C3" w14:textId="77777777" w:rsidR="00214D2E" w:rsidRDefault="00214D2E" w:rsidP="00214D2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Contribution to this Manuscript: </w:t>
      </w:r>
      <w:r w:rsidRPr="00D27535">
        <w:rPr>
          <w:rFonts w:ascii="Times New Roman" w:eastAsia="Times New Roman" w:hAnsi="Times New Roman" w:cs="Times New Roman"/>
          <w:color w:val="000000"/>
          <w:sz w:val="20"/>
          <w:szCs w:val="20"/>
          <w:lang w:val="en-US"/>
        </w:rPr>
        <w:t>Editing</w:t>
      </w:r>
      <w:r>
        <w:rPr>
          <w:rFonts w:ascii="Times New Roman" w:eastAsia="Times New Roman" w:hAnsi="Times New Roman" w:cs="Times New Roman"/>
          <w:color w:val="000000"/>
          <w:sz w:val="20"/>
          <w:szCs w:val="20"/>
          <w:lang w:val="en-US"/>
        </w:rPr>
        <w:t xml:space="preserve"> and</w:t>
      </w:r>
      <w:r w:rsidRPr="00D27535">
        <w:rPr>
          <w:rFonts w:ascii="Times New Roman" w:eastAsia="Times New Roman" w:hAnsi="Times New Roman" w:cs="Times New Roman"/>
          <w:color w:val="000000"/>
          <w:sz w:val="20"/>
          <w:szCs w:val="20"/>
          <w:lang w:val="en-US"/>
        </w:rPr>
        <w:t xml:space="preserve"> Investigation</w:t>
      </w:r>
    </w:p>
    <w:p w14:paraId="355DB0B8" w14:textId="77777777" w:rsidR="00214D2E" w:rsidRDefault="00214D2E" w:rsidP="00214D2E">
      <w:pPr>
        <w:numPr>
          <w:ilvl w:val="0"/>
          <w:numId w:val="3"/>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F</w:t>
      </w:r>
      <w:r w:rsidRPr="006463FB">
        <w:rPr>
          <w:rFonts w:ascii="Times New Roman" w:eastAsia="Times New Roman" w:hAnsi="Times New Roman" w:cs="Times New Roman"/>
          <w:b/>
          <w:color w:val="000000"/>
          <w:sz w:val="20"/>
          <w:szCs w:val="20"/>
        </w:rPr>
        <w:t>ifth</w:t>
      </w:r>
      <w:r>
        <w:rPr>
          <w:rFonts w:ascii="Times New Roman" w:eastAsia="Times New Roman" w:hAnsi="Times New Roman" w:cs="Times New Roman"/>
          <w:b/>
          <w:color w:val="000000"/>
          <w:sz w:val="20"/>
          <w:szCs w:val="20"/>
        </w:rPr>
        <w:t xml:space="preserve"> author: </w:t>
      </w:r>
    </w:p>
    <w:p w14:paraId="66515F4E" w14:textId="77777777" w:rsidR="00214D2E" w:rsidRDefault="00214D2E" w:rsidP="00214D2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Agung Karuniawan</w:t>
      </w:r>
    </w:p>
    <w:p w14:paraId="5AC212B8" w14:textId="77777777" w:rsidR="00214D2E" w:rsidRDefault="00214D2E" w:rsidP="00214D2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Afiliation</w:t>
      </w:r>
      <w:r>
        <w:rPr>
          <w:rFonts w:ascii="Times New Roman" w:eastAsia="Times New Roman" w:hAnsi="Times New Roman" w:cs="Times New Roman"/>
          <w:color w:val="000000"/>
          <w:sz w:val="20"/>
          <w:szCs w:val="20"/>
        </w:rPr>
        <w:tab/>
        <w:t xml:space="preserve">: </w:t>
      </w:r>
      <w:r w:rsidRPr="00D84FC1">
        <w:rPr>
          <w:rFonts w:ascii="Book Antiqua" w:hAnsi="Book Antiqua" w:cs="Times New Roman"/>
          <w:sz w:val="20"/>
          <w:szCs w:val="20"/>
        </w:rPr>
        <w:t>Faculty of Agriculture, Universitas Padjadjaran, Bandung, Indonesia</w:t>
      </w:r>
    </w:p>
    <w:p w14:paraId="6254FF73" w14:textId="77777777" w:rsidR="00214D2E" w:rsidRDefault="00214D2E" w:rsidP="00214D2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r w:rsidRPr="006013F1">
        <w:rPr>
          <w:rFonts w:ascii="Times New Roman" w:eastAsia="Times New Roman" w:hAnsi="Times New Roman" w:cs="Times New Roman"/>
          <w:color w:val="000000"/>
          <w:sz w:val="20"/>
          <w:szCs w:val="20"/>
          <w:lang w:val="en-US"/>
        </w:rPr>
        <w:t>agung.karuniawan@unpad.ac.id</w:t>
      </w:r>
    </w:p>
    <w:p w14:paraId="71D8BA1D" w14:textId="77777777" w:rsidR="00214D2E" w:rsidRDefault="00214D2E" w:rsidP="00214D2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Orcid ID</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hyperlink r:id="rId12" w:history="1">
        <w:r w:rsidRPr="00560E11">
          <w:rPr>
            <w:rStyle w:val="Hyperlink"/>
            <w:rFonts w:ascii="Times New Roman" w:eastAsia="Times New Roman" w:hAnsi="Times New Roman" w:cs="Times New Roman"/>
            <w:sz w:val="20"/>
            <w:szCs w:val="20"/>
          </w:rPr>
          <w:t>https://orcid.org/0000-0001-5959-3259</w:t>
        </w:r>
      </w:hyperlink>
      <w:r>
        <w:rPr>
          <w:rFonts w:ascii="Times New Roman" w:eastAsia="Times New Roman" w:hAnsi="Times New Roman" w:cs="Times New Roman"/>
          <w:color w:val="000000"/>
          <w:sz w:val="20"/>
          <w:szCs w:val="20"/>
        </w:rPr>
        <w:t xml:space="preserve">  </w:t>
      </w:r>
    </w:p>
    <w:p w14:paraId="2268D47C" w14:textId="77777777" w:rsidR="00214D2E" w:rsidRPr="00D27535" w:rsidRDefault="00214D2E" w:rsidP="00214D2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Contribution to this Manuscript: </w:t>
      </w:r>
      <w:r w:rsidRPr="00D27535">
        <w:rPr>
          <w:rFonts w:ascii="Times New Roman" w:eastAsia="Times New Roman" w:hAnsi="Times New Roman" w:cs="Times New Roman"/>
          <w:color w:val="000000"/>
          <w:sz w:val="20"/>
          <w:szCs w:val="20"/>
          <w:lang w:val="en-US"/>
        </w:rPr>
        <w:t>Writing-review &amp; editing, Supervision, Project administration, Funding acquisition.</w:t>
      </w:r>
    </w:p>
    <w:p w14:paraId="2AAC6CE5" w14:textId="77777777" w:rsidR="00214D2E" w:rsidRPr="00D27535" w:rsidRDefault="00214D2E" w:rsidP="00214D2E">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p w14:paraId="33DA4A7C" w14:textId="77777777" w:rsidR="00214D2E" w:rsidRDefault="00214D2E" w:rsidP="00214D2E">
      <w:pPr>
        <w:numPr>
          <w:ilvl w:val="0"/>
          <w:numId w:val="3"/>
        </w:numPr>
        <w:pBdr>
          <w:top w:val="nil"/>
          <w:left w:val="nil"/>
          <w:bottom w:val="nil"/>
          <w:right w:val="nil"/>
          <w:between w:val="nil"/>
        </w:pBdr>
        <w:spacing w:line="240" w:lineRule="auto"/>
        <w:ind w:left="426" w:hanging="42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Acknowledgement</w:t>
      </w:r>
    </w:p>
    <w:p w14:paraId="586840DA" w14:textId="77777777" w:rsidR="00214D2E" w:rsidRPr="006463FB" w:rsidRDefault="00214D2E" w:rsidP="00F6630F">
      <w:pPr>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6463FB">
        <w:rPr>
          <w:rFonts w:ascii="Times New Roman" w:hAnsi="Times New Roman" w:cs="Times New Roman"/>
          <w:sz w:val="20"/>
          <w:szCs w:val="20"/>
        </w:rPr>
        <w:t>This work was financially supported by the “Program Penelitian Pendidikan Magister menuju Doktor untuk Sarjana Unggul (PMDSU)” (014/E5/PG.02.00/PL.PMDSU/2024) Directorate of Research, Technology, and Community Service, Republic of Indonesia</w:t>
      </w:r>
    </w:p>
    <w:p w14:paraId="328CC1D0" w14:textId="77777777" w:rsidR="00214D2E" w:rsidRDefault="00214D2E" w:rsidP="00214D2E">
      <w:pPr>
        <w:numPr>
          <w:ilvl w:val="0"/>
          <w:numId w:val="3"/>
        </w:numPr>
        <w:pBdr>
          <w:top w:val="nil"/>
          <w:left w:val="nil"/>
          <w:bottom w:val="nil"/>
          <w:right w:val="nil"/>
          <w:between w:val="nil"/>
        </w:pBdr>
        <w:spacing w:line="240" w:lineRule="auto"/>
        <w:ind w:left="426" w:hanging="42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Reviewers Candidate :</w:t>
      </w:r>
    </w:p>
    <w:p w14:paraId="5CF42180" w14:textId="77777777" w:rsidR="00214D2E" w:rsidRPr="00BF7E96" w:rsidRDefault="00214D2E" w:rsidP="00214D2E">
      <w:pPr>
        <w:spacing w:line="240" w:lineRule="auto"/>
        <w:ind w:firstLine="567"/>
        <w:rPr>
          <w:rFonts w:ascii="Times New Roman" w:eastAsia="Times New Roman" w:hAnsi="Times New Roman" w:cs="Times New Roman"/>
          <w:b/>
          <w:bCs/>
          <w:sz w:val="20"/>
          <w:szCs w:val="20"/>
          <w:lang w:val="en-US"/>
        </w:rPr>
      </w:pPr>
      <w:r w:rsidRPr="00BF7E96">
        <w:rPr>
          <w:rFonts w:ascii="Times New Roman" w:eastAsia="Times New Roman" w:hAnsi="Times New Roman" w:cs="Times New Roman"/>
          <w:sz w:val="20"/>
          <w:szCs w:val="20"/>
          <w:lang w:val="en-US"/>
        </w:rPr>
        <w:t xml:space="preserve">Gatut Wahyu Anggoro Susanto, </w:t>
      </w:r>
      <w:r>
        <w:rPr>
          <w:rFonts w:ascii="Times New Roman" w:eastAsia="Times New Roman" w:hAnsi="Times New Roman" w:cs="Times New Roman"/>
          <w:sz w:val="20"/>
          <w:szCs w:val="20"/>
        </w:rPr>
        <w:t xml:space="preserve">Scopus/Orcid ID: </w:t>
      </w:r>
      <w:r w:rsidRPr="00BF7E96">
        <w:rPr>
          <w:rFonts w:ascii="Times New Roman" w:eastAsia="Times New Roman" w:hAnsi="Times New Roman" w:cs="Times New Roman"/>
          <w:sz w:val="20"/>
          <w:szCs w:val="20"/>
        </w:rPr>
        <w:t>https://orcid.org/0000-0001-8256-0746</w:t>
      </w:r>
    </w:p>
    <w:p w14:paraId="71C364C9" w14:textId="77777777" w:rsidR="00DF13FA" w:rsidRDefault="00DF13FA" w:rsidP="00A01D1A">
      <w:pPr>
        <w:spacing w:after="0" w:line="240" w:lineRule="auto"/>
        <w:jc w:val="center"/>
        <w:rPr>
          <w:rFonts w:ascii="Times New Roman" w:eastAsia="Book Antiqua" w:hAnsi="Times New Roman" w:cs="Times New Roman"/>
          <w:b/>
          <w:sz w:val="28"/>
          <w:szCs w:val="28"/>
        </w:rPr>
        <w:sectPr w:rsidR="00DF13FA" w:rsidSect="00FF183A">
          <w:headerReference w:type="even" r:id="rId13"/>
          <w:headerReference w:type="default" r:id="rId14"/>
          <w:footerReference w:type="default" r:id="rId15"/>
          <w:pgSz w:w="11907" w:h="16840"/>
          <w:pgMar w:top="1134" w:right="1134" w:bottom="1134" w:left="1418" w:header="907" w:footer="907" w:gutter="0"/>
          <w:pgNumType w:start="1"/>
          <w:cols w:space="720"/>
        </w:sectPr>
      </w:pPr>
    </w:p>
    <w:p w14:paraId="15DE4BE3" w14:textId="186C9626" w:rsidR="0090018E" w:rsidRPr="000E67DC" w:rsidRDefault="002145B4" w:rsidP="00A01D1A">
      <w:pPr>
        <w:spacing w:after="0" w:line="240" w:lineRule="auto"/>
        <w:jc w:val="center"/>
        <w:rPr>
          <w:rFonts w:ascii="Times New Roman" w:eastAsia="Book Antiqua" w:hAnsi="Times New Roman" w:cs="Times New Roman"/>
          <w:b/>
          <w:sz w:val="28"/>
          <w:szCs w:val="28"/>
        </w:rPr>
      </w:pPr>
      <w:r w:rsidRPr="000E67DC">
        <w:rPr>
          <w:rFonts w:ascii="Times New Roman" w:eastAsia="Book Antiqua" w:hAnsi="Times New Roman" w:cs="Times New Roman"/>
          <w:b/>
          <w:sz w:val="28"/>
          <w:szCs w:val="28"/>
        </w:rPr>
        <w:lastRenderedPageBreak/>
        <w:t>GENETIC PARAMETERS AND YIELD POTENTIAL OF INDONESIA SOYBEAN VARIETIES (</w:t>
      </w:r>
      <w:r w:rsidRPr="000E67DC">
        <w:rPr>
          <w:rFonts w:ascii="Times New Roman" w:eastAsia="Book Antiqua" w:hAnsi="Times New Roman" w:cs="Times New Roman"/>
          <w:b/>
          <w:i/>
          <w:iCs/>
          <w:sz w:val="28"/>
          <w:szCs w:val="28"/>
        </w:rPr>
        <w:t>GLYCINE MAX</w:t>
      </w:r>
      <w:r w:rsidRPr="000E67DC">
        <w:rPr>
          <w:rFonts w:ascii="Times New Roman" w:eastAsia="Book Antiqua" w:hAnsi="Times New Roman" w:cs="Times New Roman"/>
          <w:b/>
          <w:sz w:val="28"/>
          <w:szCs w:val="28"/>
        </w:rPr>
        <w:t xml:space="preserve"> L.) IN WETLAND DURING DRY SEASON</w:t>
      </w:r>
    </w:p>
    <w:p w14:paraId="0C11EE8D" w14:textId="77777777" w:rsidR="0090018E" w:rsidRPr="000E67DC" w:rsidRDefault="0090018E">
      <w:pPr>
        <w:spacing w:after="0" w:line="240" w:lineRule="auto"/>
        <w:rPr>
          <w:rFonts w:ascii="Times New Roman" w:eastAsia="Book Antiqua" w:hAnsi="Times New Roman" w:cs="Times New Roman"/>
          <w:b/>
        </w:rPr>
      </w:pPr>
    </w:p>
    <w:p w14:paraId="36EA51FD" w14:textId="5A60D2F4" w:rsidR="000E67DC" w:rsidRPr="004976CA" w:rsidRDefault="000E67DC" w:rsidP="000E67D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4976CA">
        <w:rPr>
          <w:rFonts w:ascii="Times New Roman" w:eastAsia="Times New Roman" w:hAnsi="Times New Roman" w:cs="Times New Roman"/>
          <w:color w:val="000000"/>
          <w:sz w:val="24"/>
          <w:szCs w:val="24"/>
        </w:rPr>
        <w:t xml:space="preserve">Fadila Ridara </w:t>
      </w:r>
      <w:r w:rsidRPr="004976CA">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rPr>
        <w:t>, Riska Fitriani</w:t>
      </w:r>
      <w:r w:rsidR="00FF183A">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Azka Algina</w:t>
      </w:r>
      <w:r w:rsidR="00FF183A">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Debby Ustari</w:t>
      </w:r>
      <w:r w:rsidR="00FF183A">
        <w:rPr>
          <w:rFonts w:ascii="Times New Roman" w:eastAsia="Times New Roman" w:hAnsi="Times New Roman" w:cs="Times New Roman"/>
          <w:color w:val="000000"/>
          <w:sz w:val="24"/>
          <w:szCs w:val="24"/>
          <w:vertAlign w:val="superscript"/>
        </w:rPr>
        <w:t>1,2</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xml:space="preserve"> and Agung Karuniawan</w:t>
      </w:r>
      <w:r w:rsidR="00FF183A">
        <w:rPr>
          <w:rFonts w:ascii="Times New Roman" w:eastAsia="Times New Roman" w:hAnsi="Times New Roman" w:cs="Times New Roman"/>
          <w:color w:val="000000"/>
          <w:sz w:val="24"/>
          <w:szCs w:val="24"/>
          <w:vertAlign w:val="superscript"/>
        </w:rPr>
        <w:t>1</w:t>
      </w:r>
      <w:r w:rsidRPr="004976CA">
        <w:rPr>
          <w:rFonts w:ascii="Times New Roman" w:eastAsia="Times New Roman" w:hAnsi="Times New Roman" w:cs="Times New Roman"/>
          <w:color w:val="000000"/>
          <w:sz w:val="24"/>
          <w:szCs w:val="24"/>
          <w:vertAlign w:val="superscript"/>
        </w:rPr>
        <w:t>*)</w:t>
      </w:r>
      <w:r w:rsidRPr="004976CA">
        <w:rPr>
          <w:rFonts w:ascii="Times New Roman" w:eastAsia="Times New Roman" w:hAnsi="Times New Roman" w:cs="Times New Roman"/>
          <w:color w:val="000000"/>
          <w:sz w:val="24"/>
          <w:szCs w:val="24"/>
        </w:rPr>
        <w:t xml:space="preserve"> </w:t>
      </w:r>
    </w:p>
    <w:p w14:paraId="47400958" w14:textId="77777777" w:rsidR="0090018E" w:rsidRPr="000E67DC" w:rsidRDefault="0090018E">
      <w:pPr>
        <w:spacing w:after="0" w:line="240" w:lineRule="auto"/>
        <w:rPr>
          <w:rFonts w:ascii="Times New Roman" w:eastAsia="Book Antiqua" w:hAnsi="Times New Roman" w:cs="Times New Roman"/>
          <w:sz w:val="20"/>
          <w:szCs w:val="20"/>
          <w:vertAlign w:val="superscript"/>
        </w:rPr>
      </w:pPr>
    </w:p>
    <w:p w14:paraId="37E0ADD1" w14:textId="2D41BB61" w:rsidR="00D676BE" w:rsidRPr="000E67DC" w:rsidRDefault="00966436" w:rsidP="000E67DC">
      <w:pPr>
        <w:spacing w:after="0" w:line="240" w:lineRule="auto"/>
        <w:jc w:val="center"/>
        <w:rPr>
          <w:rFonts w:ascii="Times New Roman" w:eastAsia="Book Antiqua" w:hAnsi="Times New Roman" w:cs="Times New Roman"/>
          <w:sz w:val="24"/>
          <w:szCs w:val="24"/>
        </w:rPr>
      </w:pPr>
      <w:r w:rsidRPr="000E67DC">
        <w:rPr>
          <w:rFonts w:ascii="Times New Roman" w:eastAsia="Book Antiqua" w:hAnsi="Times New Roman" w:cs="Times New Roman"/>
          <w:sz w:val="24"/>
          <w:szCs w:val="24"/>
          <w:vertAlign w:val="superscript"/>
        </w:rPr>
        <w:t>1</w:t>
      </w:r>
      <w:r w:rsidRPr="000E67DC">
        <w:rPr>
          <w:rFonts w:ascii="Times New Roman" w:eastAsia="Book Antiqua" w:hAnsi="Times New Roman" w:cs="Times New Roman"/>
          <w:sz w:val="24"/>
          <w:szCs w:val="24"/>
        </w:rPr>
        <w:t xml:space="preserve"> </w:t>
      </w:r>
      <w:r w:rsidR="00D676BE" w:rsidRPr="000E67DC">
        <w:rPr>
          <w:rFonts w:ascii="Times New Roman" w:hAnsi="Times New Roman" w:cs="Times New Roman"/>
          <w:sz w:val="24"/>
          <w:szCs w:val="24"/>
        </w:rPr>
        <w:t>Faculty of Agriculture, Universitas Padjadjaran, Bandung, Indonesia</w:t>
      </w:r>
    </w:p>
    <w:p w14:paraId="705BC459" w14:textId="52CA2483" w:rsidR="0090018E" w:rsidRPr="000E67DC" w:rsidRDefault="00966436" w:rsidP="000E67DC">
      <w:pPr>
        <w:spacing w:after="0" w:line="240" w:lineRule="auto"/>
        <w:jc w:val="center"/>
        <w:rPr>
          <w:rFonts w:ascii="Times New Roman" w:eastAsia="Book Antiqua" w:hAnsi="Times New Roman" w:cs="Times New Roman"/>
          <w:sz w:val="24"/>
          <w:szCs w:val="24"/>
        </w:rPr>
      </w:pPr>
      <w:r w:rsidRPr="000E67DC">
        <w:rPr>
          <w:rFonts w:ascii="Times New Roman" w:eastAsia="Book Antiqua" w:hAnsi="Times New Roman" w:cs="Times New Roman"/>
          <w:sz w:val="24"/>
          <w:szCs w:val="24"/>
          <w:vertAlign w:val="superscript"/>
        </w:rPr>
        <w:t>2</w:t>
      </w:r>
      <w:r w:rsidRPr="000E67DC">
        <w:rPr>
          <w:rFonts w:ascii="Times New Roman" w:eastAsia="Book Antiqua" w:hAnsi="Times New Roman" w:cs="Times New Roman"/>
          <w:sz w:val="24"/>
          <w:szCs w:val="24"/>
        </w:rPr>
        <w:t xml:space="preserve"> </w:t>
      </w:r>
      <w:r w:rsidR="00161560" w:rsidRPr="000E67DC">
        <w:rPr>
          <w:rFonts w:ascii="Times New Roman" w:hAnsi="Times New Roman" w:cs="Times New Roman"/>
          <w:sz w:val="24"/>
          <w:szCs w:val="24"/>
        </w:rPr>
        <w:t>Faculty of Agriculture, Universitas Islam Nusantara, Bandung, Indonesia</w:t>
      </w:r>
    </w:p>
    <w:p w14:paraId="393A1406" w14:textId="265FF4C4" w:rsidR="00D676BE" w:rsidRPr="000E67DC" w:rsidRDefault="000E67DC" w:rsidP="000E67DC">
      <w:pPr>
        <w:pStyle w:val="NoSpacing"/>
        <w:spacing w:line="276" w:lineRule="auto"/>
        <w:jc w:val="center"/>
        <w:rPr>
          <w:rFonts w:ascii="Times New Roman" w:hAnsi="Times New Roman" w:cs="Times New Roman"/>
          <w:b/>
          <w:bCs/>
          <w:sz w:val="20"/>
          <w:szCs w:val="20"/>
        </w:rPr>
      </w:pPr>
      <w:r w:rsidRPr="000E67DC">
        <w:rPr>
          <w:rFonts w:ascii="Times New Roman" w:eastAsia="Book Antiqua" w:hAnsi="Times New Roman" w:cs="Times New Roman"/>
          <w:b/>
          <w:bCs/>
          <w:sz w:val="20"/>
          <w:szCs w:val="20"/>
        </w:rPr>
        <w:t>*</w:t>
      </w:r>
      <w:r w:rsidR="00966436" w:rsidRPr="000E67DC">
        <w:rPr>
          <w:rFonts w:ascii="Times New Roman" w:eastAsia="Book Antiqua" w:hAnsi="Times New Roman" w:cs="Times New Roman"/>
          <w:b/>
          <w:bCs/>
          <w:sz w:val="20"/>
          <w:szCs w:val="20"/>
        </w:rPr>
        <w:t xml:space="preserve">Correspondence: </w:t>
      </w:r>
      <w:r w:rsidR="00D676BE" w:rsidRPr="000E67DC">
        <w:rPr>
          <w:rFonts w:ascii="Times New Roman" w:hAnsi="Times New Roman" w:cs="Times New Roman"/>
          <w:b/>
          <w:bCs/>
          <w:sz w:val="20"/>
          <w:szCs w:val="20"/>
        </w:rPr>
        <w:t>agung.karuniawan@unpad.ac.id; Tel.: +62-(81)-214694288</w:t>
      </w:r>
    </w:p>
    <w:p w14:paraId="7638657A" w14:textId="77777777" w:rsidR="0090018E" w:rsidRPr="000E67DC" w:rsidRDefault="0090018E">
      <w:pPr>
        <w:spacing w:after="0" w:line="240" w:lineRule="auto"/>
        <w:rPr>
          <w:rFonts w:ascii="Times New Roman" w:eastAsia="Book Antiqua" w:hAnsi="Times New Roman" w:cs="Times New Roman"/>
          <w:sz w:val="20"/>
          <w:szCs w:val="20"/>
        </w:rPr>
      </w:pPr>
    </w:p>
    <w:p w14:paraId="112330EA" w14:textId="3382B5A8" w:rsidR="00D676BE" w:rsidRPr="000E67DC" w:rsidRDefault="00D676BE">
      <w:pPr>
        <w:spacing w:after="0" w:line="240" w:lineRule="auto"/>
        <w:rPr>
          <w:rFonts w:ascii="Times New Roman" w:eastAsia="Book Antiqua" w:hAnsi="Times New Roman" w:cs="Times New Roman"/>
          <w:sz w:val="20"/>
          <w:szCs w:val="20"/>
        </w:rPr>
        <w:sectPr w:rsidR="00D676BE" w:rsidRPr="000E67DC" w:rsidSect="00FF183A">
          <w:pgSz w:w="11907" w:h="16840"/>
          <w:pgMar w:top="1134" w:right="1134" w:bottom="1134" w:left="1418" w:header="907" w:footer="907" w:gutter="0"/>
          <w:pgNumType w:start="1"/>
          <w:cols w:space="720"/>
        </w:sectPr>
      </w:pPr>
    </w:p>
    <w:p w14:paraId="6E226BD1" w14:textId="77777777" w:rsidR="002145B4" w:rsidRPr="002145B4" w:rsidRDefault="002145B4" w:rsidP="00CE13EC">
      <w:pPr>
        <w:spacing w:after="0" w:line="240" w:lineRule="auto"/>
        <w:jc w:val="both"/>
        <w:rPr>
          <w:rFonts w:ascii="Times New Roman" w:eastAsia="Book Antiqua" w:hAnsi="Times New Roman" w:cs="Times New Roman"/>
          <w:iCs/>
          <w:sz w:val="28"/>
          <w:szCs w:val="28"/>
        </w:rPr>
      </w:pPr>
      <w:r w:rsidRPr="000E67DC">
        <w:rPr>
          <w:rFonts w:ascii="Times New Roman" w:eastAsia="Book Antiqua" w:hAnsi="Times New Roman" w:cs="Times New Roman"/>
          <w:b/>
          <w:sz w:val="24"/>
          <w:szCs w:val="24"/>
        </w:rPr>
        <w:t>ABSTRACT</w:t>
      </w:r>
      <w:r w:rsidRPr="000E67DC">
        <w:rPr>
          <w:rFonts w:ascii="Times New Roman" w:eastAsia="Book Antiqua" w:hAnsi="Times New Roman" w:cs="Times New Roman"/>
          <w:b/>
          <w:i/>
          <w:sz w:val="24"/>
          <w:szCs w:val="24"/>
        </w:rPr>
        <w:t xml:space="preserve"> </w:t>
      </w:r>
    </w:p>
    <w:p w14:paraId="17948809" w14:textId="47539FB3" w:rsidR="00FB61E4" w:rsidRPr="000E67DC" w:rsidRDefault="00CE13EC" w:rsidP="00CE13EC">
      <w:pPr>
        <w:spacing w:after="0" w:line="240" w:lineRule="auto"/>
        <w:jc w:val="both"/>
        <w:rPr>
          <w:rFonts w:ascii="Times New Roman" w:eastAsia="Book Antiqua" w:hAnsi="Times New Roman" w:cs="Times New Roman"/>
          <w:sz w:val="20"/>
          <w:szCs w:val="20"/>
          <w:lang w:val="en-US"/>
        </w:rPr>
      </w:pPr>
      <w:r w:rsidRPr="000E67DC">
        <w:rPr>
          <w:rFonts w:ascii="Times New Roman" w:eastAsia="Book Antiqua" w:hAnsi="Times New Roman" w:cs="Times New Roman"/>
          <w:sz w:val="20"/>
          <w:szCs w:val="20"/>
        </w:rPr>
        <w:t>Cultivating</w:t>
      </w:r>
      <w:r w:rsidRPr="000E67DC">
        <w:rPr>
          <w:rFonts w:ascii="Times New Roman" w:eastAsia="Book Antiqua" w:hAnsi="Times New Roman" w:cs="Times New Roman"/>
        </w:rPr>
        <w:t xml:space="preserve"> </w:t>
      </w:r>
      <w:r w:rsidRPr="000E67DC">
        <w:rPr>
          <w:rFonts w:ascii="Times New Roman" w:eastAsia="Book Antiqua" w:hAnsi="Times New Roman" w:cs="Times New Roman"/>
          <w:sz w:val="20"/>
          <w:szCs w:val="20"/>
          <w:lang w:val="en-US"/>
        </w:rPr>
        <w:t>soybean in wetland areas presents unique challenges, particularly during water-limited conditions such as the dry season, where yield performance can vary significantly among genotypes.</w:t>
      </w:r>
      <w:r w:rsidR="00FE6D04" w:rsidRPr="000E67DC">
        <w:rPr>
          <w:rFonts w:ascii="Times New Roman" w:eastAsia="Book Antiqua" w:hAnsi="Times New Roman" w:cs="Times New Roman"/>
          <w:sz w:val="20"/>
          <w:szCs w:val="20"/>
          <w:lang w:val="en-US"/>
        </w:rPr>
        <w:t xml:space="preserve"> This research aims to assess the yield potential of Indonesian soybean varieties under wetland conditions during the dry season, to estimate genetic parameters, and to determinine the relationship among traits. </w:t>
      </w:r>
      <w:r w:rsidRPr="000E67DC">
        <w:rPr>
          <w:rFonts w:ascii="Times New Roman" w:eastAsia="Book Antiqua" w:hAnsi="Times New Roman" w:cs="Times New Roman"/>
          <w:sz w:val="20"/>
          <w:szCs w:val="20"/>
          <w:lang w:val="en-US"/>
        </w:rPr>
        <w:t xml:space="preserve"> </w:t>
      </w:r>
      <w:r w:rsidR="00FE6D04" w:rsidRPr="000E67DC">
        <w:rPr>
          <w:rFonts w:ascii="Times New Roman" w:eastAsia="Book Antiqua" w:hAnsi="Times New Roman" w:cs="Times New Roman"/>
          <w:sz w:val="20"/>
          <w:szCs w:val="20"/>
          <w:lang w:val="en-US"/>
        </w:rPr>
        <w:t>Twenty</w:t>
      </w:r>
      <w:r w:rsidRPr="000E67DC">
        <w:rPr>
          <w:rFonts w:ascii="Times New Roman" w:eastAsia="Book Antiqua" w:hAnsi="Times New Roman" w:cs="Times New Roman"/>
          <w:sz w:val="20"/>
          <w:szCs w:val="20"/>
          <w:lang w:val="en-US"/>
        </w:rPr>
        <w:t xml:space="preserve"> soybean genotypes were evaluated </w:t>
      </w:r>
      <w:r w:rsidR="00FE6D04" w:rsidRPr="000E67DC">
        <w:rPr>
          <w:rFonts w:ascii="Times New Roman" w:eastAsia="Book Antiqua" w:hAnsi="Times New Roman" w:cs="Times New Roman"/>
          <w:sz w:val="20"/>
          <w:szCs w:val="20"/>
          <w:lang w:val="en-US"/>
        </w:rPr>
        <w:t xml:space="preserve">with </w:t>
      </w:r>
      <w:r w:rsidRPr="000E67DC">
        <w:rPr>
          <w:rFonts w:ascii="Times New Roman" w:eastAsia="Book Antiqua" w:hAnsi="Times New Roman" w:cs="Times New Roman"/>
          <w:sz w:val="20"/>
          <w:szCs w:val="20"/>
          <w:lang w:val="en-US"/>
        </w:rPr>
        <w:t>Randomized Complete Block Design (RCBD) with three replications. Yield components measured included seed weight per plot, number of seeds per plant, and overall yield potential (tons per hectare). The results revealed significant variation among the genotypes.</w:t>
      </w:r>
      <w:r w:rsidR="0005152E" w:rsidRPr="000E67DC">
        <w:rPr>
          <w:rFonts w:ascii="Times New Roman" w:eastAsia="Book Antiqua" w:hAnsi="Times New Roman" w:cs="Times New Roman"/>
          <w:sz w:val="20"/>
          <w:szCs w:val="20"/>
          <w:lang w:val="en-US"/>
        </w:rPr>
        <w:t xml:space="preserve"> </w:t>
      </w:r>
      <w:r w:rsidR="0005152E" w:rsidRPr="000E67DC">
        <w:rPr>
          <w:rFonts w:ascii="Times New Roman" w:eastAsia="Book Antiqua" w:hAnsi="Times New Roman" w:cs="Times New Roman"/>
          <w:sz w:val="20"/>
          <w:szCs w:val="20"/>
        </w:rPr>
        <w:t>The estimation of genetic parameters indicates that traits such as plant height, 100-seed weight, and the number of seeds per plant have high heritability, as well as significant CVg/CVr ratios, suggesting efficient genetic selection potential and opportunities for genetic improvement through breeding.</w:t>
      </w:r>
      <w:r w:rsidRPr="000E67DC">
        <w:rPr>
          <w:rFonts w:ascii="Times New Roman" w:eastAsia="Book Antiqua" w:hAnsi="Times New Roman" w:cs="Times New Roman"/>
          <w:sz w:val="20"/>
          <w:szCs w:val="20"/>
          <w:lang w:val="en-US"/>
        </w:rPr>
        <w:t xml:space="preserve"> </w:t>
      </w:r>
      <w:r w:rsidR="007948A2" w:rsidRPr="000E67DC">
        <w:rPr>
          <w:rFonts w:ascii="Times New Roman" w:eastAsia="Book Antiqua" w:hAnsi="Times New Roman" w:cs="Times New Roman"/>
          <w:sz w:val="20"/>
          <w:szCs w:val="20"/>
          <w:lang w:val="en-US"/>
        </w:rPr>
        <w:t xml:space="preserve">Pearson’s correlation network plot shows positive associations between traits such as PH, WB, WSP and Yield. </w:t>
      </w:r>
      <w:r w:rsidRPr="000E67DC">
        <w:rPr>
          <w:rFonts w:ascii="Times New Roman" w:eastAsia="Book Antiqua" w:hAnsi="Times New Roman" w:cs="Times New Roman"/>
          <w:sz w:val="20"/>
          <w:szCs w:val="20"/>
          <w:lang w:val="en-US"/>
        </w:rPr>
        <w:t>'Deja 1' exhibited the highest yield potential at 1.75 tons per hectare, while 'BS 99' showed the lowest at 0.18 tons per hectare. These findings underscore the importance of genotype selection in enhancing soybean productivity in water-limited environments. The study offers valuable insights for future breeding programs aimed at improving soybean yields in challenging conditions, such as the dry season in wetlands, thereby contributing to sustainable agricultural practices in Indonesia.</w:t>
      </w:r>
    </w:p>
    <w:p w14:paraId="53B612CB" w14:textId="77777777" w:rsidR="0090018E" w:rsidRPr="000E67DC" w:rsidRDefault="0090018E">
      <w:pPr>
        <w:spacing w:after="0" w:line="240" w:lineRule="auto"/>
        <w:jc w:val="both"/>
        <w:rPr>
          <w:rFonts w:ascii="Times New Roman" w:eastAsia="Book Antiqua" w:hAnsi="Times New Roman" w:cs="Times New Roman"/>
          <w:i/>
          <w:sz w:val="20"/>
          <w:szCs w:val="20"/>
        </w:rPr>
      </w:pPr>
    </w:p>
    <w:p w14:paraId="0AFBD402" w14:textId="08460720" w:rsidR="0090018E" w:rsidRPr="000E67DC" w:rsidRDefault="00966436">
      <w:pPr>
        <w:spacing w:after="0" w:line="240" w:lineRule="auto"/>
        <w:jc w:val="both"/>
        <w:rPr>
          <w:rFonts w:ascii="Times New Roman" w:eastAsia="Book Antiqua" w:hAnsi="Times New Roman" w:cs="Times New Roman"/>
          <w:sz w:val="20"/>
          <w:szCs w:val="20"/>
        </w:rPr>
      </w:pPr>
      <w:r w:rsidRPr="000E67DC">
        <w:rPr>
          <w:rFonts w:ascii="Times New Roman" w:eastAsia="Book Antiqua" w:hAnsi="Times New Roman" w:cs="Times New Roman"/>
          <w:b/>
          <w:sz w:val="20"/>
          <w:szCs w:val="20"/>
        </w:rPr>
        <w:t>Keywords</w:t>
      </w:r>
      <w:r w:rsidRPr="000E67DC">
        <w:rPr>
          <w:rFonts w:ascii="Times New Roman" w:eastAsia="Book Antiqua" w:hAnsi="Times New Roman" w:cs="Times New Roman"/>
          <w:sz w:val="20"/>
          <w:szCs w:val="20"/>
        </w:rPr>
        <w:t xml:space="preserve">: </w:t>
      </w:r>
      <w:r w:rsidR="00FF183A" w:rsidRPr="000E67DC">
        <w:rPr>
          <w:rFonts w:ascii="Times New Roman" w:eastAsia="Book Antiqua" w:hAnsi="Times New Roman" w:cs="Times New Roman"/>
          <w:sz w:val="20"/>
          <w:szCs w:val="20"/>
        </w:rPr>
        <w:t>adaptability</w:t>
      </w:r>
      <w:r w:rsidR="00FF183A">
        <w:rPr>
          <w:rFonts w:ascii="Times New Roman" w:eastAsia="Book Antiqua" w:hAnsi="Times New Roman" w:cs="Times New Roman"/>
          <w:sz w:val="20"/>
          <w:szCs w:val="20"/>
        </w:rPr>
        <w:t xml:space="preserve">, </w:t>
      </w:r>
      <w:r w:rsidR="00FF183A" w:rsidRPr="000E67DC">
        <w:rPr>
          <w:rFonts w:ascii="Times New Roman" w:eastAsia="Book Antiqua" w:hAnsi="Times New Roman" w:cs="Times New Roman"/>
          <w:sz w:val="20"/>
          <w:szCs w:val="20"/>
        </w:rPr>
        <w:t>heretability,</w:t>
      </w:r>
      <w:r w:rsidR="00FF183A">
        <w:rPr>
          <w:rFonts w:ascii="Times New Roman" w:eastAsia="Book Antiqua" w:hAnsi="Times New Roman" w:cs="Times New Roman"/>
          <w:sz w:val="20"/>
          <w:szCs w:val="20"/>
        </w:rPr>
        <w:t xml:space="preserve"> </w:t>
      </w:r>
      <w:r w:rsidR="00460339" w:rsidRPr="000E67DC">
        <w:rPr>
          <w:rFonts w:ascii="Times New Roman" w:eastAsia="Book Antiqua" w:hAnsi="Times New Roman" w:cs="Times New Roman"/>
          <w:sz w:val="20"/>
          <w:szCs w:val="20"/>
        </w:rPr>
        <w:t>water-limited</w:t>
      </w:r>
      <w:r w:rsidR="00A01D1A" w:rsidRPr="000E67DC">
        <w:rPr>
          <w:rFonts w:ascii="Times New Roman" w:eastAsia="Book Antiqua" w:hAnsi="Times New Roman" w:cs="Times New Roman"/>
          <w:sz w:val="20"/>
          <w:szCs w:val="20"/>
        </w:rPr>
        <w:t xml:space="preserve"> conditions</w:t>
      </w:r>
      <w:r w:rsidRPr="000E67DC">
        <w:rPr>
          <w:rFonts w:ascii="Times New Roman" w:eastAsia="Book Antiqua" w:hAnsi="Times New Roman" w:cs="Times New Roman"/>
          <w:sz w:val="20"/>
          <w:szCs w:val="20"/>
        </w:rPr>
        <w:t>,</w:t>
      </w:r>
      <w:r w:rsidR="00FF183A">
        <w:rPr>
          <w:rFonts w:ascii="Times New Roman" w:eastAsia="Book Antiqua" w:hAnsi="Times New Roman" w:cs="Times New Roman"/>
          <w:sz w:val="20"/>
          <w:szCs w:val="20"/>
        </w:rPr>
        <w:t xml:space="preserve"> </w:t>
      </w:r>
      <w:r w:rsidR="00460339" w:rsidRPr="000E67DC">
        <w:rPr>
          <w:rFonts w:ascii="Times New Roman" w:eastAsia="Book Antiqua" w:hAnsi="Times New Roman" w:cs="Times New Roman"/>
          <w:sz w:val="20"/>
          <w:szCs w:val="20"/>
        </w:rPr>
        <w:t>wetland cultivation</w:t>
      </w:r>
      <w:r w:rsidR="007948A2" w:rsidRPr="000E67DC">
        <w:rPr>
          <w:rFonts w:ascii="Times New Roman" w:eastAsia="Book Antiqua" w:hAnsi="Times New Roman" w:cs="Times New Roman"/>
          <w:sz w:val="20"/>
          <w:szCs w:val="20"/>
        </w:rPr>
        <w:t xml:space="preserve">, </w:t>
      </w:r>
      <w:r w:rsidR="00A01D1A" w:rsidRPr="000E67DC">
        <w:rPr>
          <w:rFonts w:ascii="Times New Roman" w:eastAsia="Book Antiqua" w:hAnsi="Times New Roman" w:cs="Times New Roman"/>
          <w:sz w:val="20"/>
          <w:szCs w:val="20"/>
        </w:rPr>
        <w:t>yield potential</w:t>
      </w:r>
    </w:p>
    <w:p w14:paraId="7A011788" w14:textId="77777777" w:rsidR="0090018E" w:rsidRPr="000E67DC" w:rsidRDefault="0090018E">
      <w:pPr>
        <w:spacing w:after="0" w:line="240" w:lineRule="auto"/>
        <w:jc w:val="both"/>
        <w:rPr>
          <w:rFonts w:ascii="Times New Roman" w:eastAsia="Book Antiqua" w:hAnsi="Times New Roman" w:cs="Times New Roman"/>
          <w:sz w:val="20"/>
          <w:szCs w:val="20"/>
        </w:rPr>
      </w:pPr>
    </w:p>
    <w:p w14:paraId="26446A5C" w14:textId="77777777" w:rsidR="00FB61E4" w:rsidRPr="000E67DC" w:rsidRDefault="00FB61E4">
      <w:pPr>
        <w:spacing w:after="0" w:line="240" w:lineRule="auto"/>
        <w:jc w:val="both"/>
        <w:rPr>
          <w:rFonts w:ascii="Times New Roman" w:eastAsia="Book Antiqua" w:hAnsi="Times New Roman" w:cs="Times New Roman"/>
          <w:b/>
          <w:sz w:val="24"/>
          <w:szCs w:val="24"/>
        </w:rPr>
        <w:sectPr w:rsidR="00FB61E4" w:rsidRPr="000E67DC" w:rsidSect="00FF183A">
          <w:footerReference w:type="even" r:id="rId16"/>
          <w:type w:val="continuous"/>
          <w:pgSz w:w="11907" w:h="16840"/>
          <w:pgMar w:top="1134" w:right="1134" w:bottom="1134" w:left="1418" w:header="907" w:footer="907" w:gutter="0"/>
          <w:cols w:space="720"/>
        </w:sectPr>
      </w:pPr>
    </w:p>
    <w:p w14:paraId="2A7DF57F" w14:textId="2AECB9F0" w:rsidR="0090018E" w:rsidRPr="000E67DC" w:rsidRDefault="000E67DC" w:rsidP="000E67DC">
      <w:pPr>
        <w:spacing w:after="0" w:line="240" w:lineRule="auto"/>
        <w:jc w:val="both"/>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t>INTRODUCTION</w:t>
      </w:r>
    </w:p>
    <w:p w14:paraId="632BA3F1" w14:textId="77777777" w:rsidR="00307D19" w:rsidRDefault="00307D19" w:rsidP="000E67DC">
      <w:pPr>
        <w:spacing w:after="0" w:line="240" w:lineRule="auto"/>
        <w:ind w:firstLine="720"/>
        <w:jc w:val="both"/>
        <w:rPr>
          <w:rFonts w:ascii="Times New Roman" w:eastAsia="Book Antiqua" w:hAnsi="Times New Roman" w:cs="Times New Roman"/>
          <w:lang w:val="en-US"/>
        </w:rPr>
        <w:sectPr w:rsidR="00307D19" w:rsidSect="00FF183A">
          <w:type w:val="continuous"/>
          <w:pgSz w:w="11907" w:h="16840"/>
          <w:pgMar w:top="1134" w:right="1134" w:bottom="1134" w:left="1418" w:header="907" w:footer="907" w:gutter="0"/>
          <w:cols w:space="576"/>
        </w:sectPr>
      </w:pPr>
    </w:p>
    <w:p w14:paraId="0E1E31CE" w14:textId="09B80B3F" w:rsidR="008829D6" w:rsidRPr="000E67DC" w:rsidRDefault="008829D6" w:rsidP="000E67DC">
      <w:pPr>
        <w:spacing w:after="0" w:line="240" w:lineRule="auto"/>
        <w:ind w:firstLine="720"/>
        <w:jc w:val="both"/>
        <w:rPr>
          <w:rFonts w:ascii="Times New Roman" w:eastAsia="Book Antiqua" w:hAnsi="Times New Roman" w:cs="Times New Roman"/>
          <w:lang w:val="en-US"/>
        </w:rPr>
      </w:pPr>
      <w:r w:rsidRPr="000E67DC">
        <w:rPr>
          <w:rFonts w:ascii="Times New Roman" w:eastAsia="Book Antiqua" w:hAnsi="Times New Roman" w:cs="Times New Roman"/>
          <w:lang w:val="en-US"/>
        </w:rPr>
        <w:t>Soybean (</w:t>
      </w:r>
      <w:r w:rsidRPr="000E67DC">
        <w:rPr>
          <w:rFonts w:ascii="Times New Roman" w:eastAsia="Book Antiqua" w:hAnsi="Times New Roman" w:cs="Times New Roman"/>
          <w:i/>
          <w:iCs/>
          <w:lang w:val="en-US"/>
        </w:rPr>
        <w:t>Glycine max</w:t>
      </w:r>
      <w:r w:rsidRPr="000E67DC">
        <w:rPr>
          <w:rFonts w:ascii="Times New Roman" w:eastAsia="Book Antiqua" w:hAnsi="Times New Roman" w:cs="Times New Roman"/>
          <w:lang w:val="en-US"/>
        </w:rPr>
        <w:t xml:space="preserve"> L. Merr.) is one of the main food </w:t>
      </w:r>
      <w:r w:rsidR="00CE13EC" w:rsidRPr="000E67DC">
        <w:rPr>
          <w:rFonts w:ascii="Times New Roman" w:eastAsia="Book Antiqua" w:hAnsi="Times New Roman" w:cs="Times New Roman"/>
          <w:lang w:val="en-US"/>
        </w:rPr>
        <w:t>crops</w:t>
      </w:r>
      <w:r w:rsidRPr="000E67DC">
        <w:rPr>
          <w:rFonts w:ascii="Times New Roman" w:eastAsia="Book Antiqua" w:hAnsi="Times New Roman" w:cs="Times New Roman"/>
          <w:lang w:val="en-US"/>
        </w:rPr>
        <w:t xml:space="preserve"> that plays a significant role in meeting the demand for plant-based protein in Indonesia. In addition, its high nutritional content, such as protein (40-45%), fat (18-21%), and carbohydrates (26-30%), has led to an increase in soybean consumption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{"citationItems":[{"id":"ITEM-1","itemData":{"DOI":"10.1007/978-981-15-4194-0","abstract":"Oilseeds offer a plethora of opportunities for the food and feed industry, thanks to their high oil and protein content . Their phytonutrients and functional components have attracted the interest of researchers, leading to the development of functional foods. This book gathers the latest scientific information on the nutrients, phytonutrients and health benefits as well as the adverse effects of consuming various conventional and non-conventional oilseeds. In addition, each chapter includes a section comprehensively explaining the use of oilseeds in functional bakery, dairy, and other food products. Given its scope, the book is a valuable resource for students, researchers, nutritionists, food scientists and technologists, and for anyone involved in product development based on oilseed and its components.","author":[{"dropping-particle":"","family":"Tanwar","given":"Beenu","non-dropping-particle":"","parse-names":false,"suffix":""},{"dropping-particle":"","family":"Goyal","given":"Ankit","non-dropping-particle":"","parse-names":false,"suffix":""}],"container-title":"Oilseeds: Health Attributes and Food Applications","id":"ITEM-1","issued":{"date-parts":[["2020"]]},"title":"Oilseeds: Health Attributes and Food Applications","type":"book"},"uris":["http://www.mendeley.com/documents/?uuid=f3d992b3-a738-3215-8afb-5af7e54f3997"]}],"mendeley":{"formattedCitation":"(Tanwar &amp; Goyal, 2020)","plainTextFormattedCitation":"(Tanwar &amp; Goyal, 2020)","previouslyFormattedCitation":"(Tanwar &amp; Goyal, 2020)"},"properties":{"noteIndex":0},"schema":"https://github.com/citation-style-language/schema/raw/master/csl-citation.json"}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135DF9" w:rsidRPr="00135DF9">
        <w:rPr>
          <w:rFonts w:ascii="Times New Roman" w:eastAsia="Book Antiqua" w:hAnsi="Times New Roman" w:cs="Times New Roman"/>
          <w:noProof/>
        </w:rPr>
        <w:t>(Tanwar &amp; Goyal, 2020)</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xml:space="preserve">. Soybean protein has several advantages, including its low cost, non-animal origin, relatively long shelf life, and its classification as a globular protein containing conglycinin and glycinin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{"citationItems":[{"id":"ITEM-1","itemData":{"abstract":"Background and Aims Soybean (Glycine max (L.) Merrill) stands out as the major source of protein and oil for human and animal nutrition. Nevertheless, the increase in soybean yield has been accompanied by a reduction in its protein content in the last few decades. Since this might be influenced by the elemental composition of the seeds, we herein aimed at determining the profile of mineral nutrients and protein of 95 soybean varieties broadly cultivated in Brazil, the world’s biggest soybean producer and exporter, to identify possible nutritional triggers for the protein content.Methods Energy dispersive fluorescence spectroscopy (EDXRF) was employed to determine the concentration of macro, i.e., (K), phosphorus (P), sulphur (S), calcium (Ca), and micronutrients, i.e., iron (Fe), manganese (Mn), zinc (Zn), and copper (Cu). The protein content was evaluated in soybean seeds by the Dumas method. The correlational and clustering assessment between nutrients and protein were determined through both univariate and multivariate non-parametric tests.Results Both protein and nutrient concentrations are not homogeneous across soybean seed varieties, and a clear positive association between protein and sulphur (S), zinc (Zn), and manganese (Mn) concentrations were observed.Conclusion The recorded results suggest that sulphur (S), zinc (Zn), and manganese (Mn) are the limiting nutrients for higher protein content in soybean seeds.Competing Interest StatementThe authors have declared no competing interest.","author":[{"dropping-particle":"","family":"Montanha","given":"Gabriel Sgarbiero","non-dropping-particle":"","parse-names":false,"suffix":""},{"dropping-particle":"","family":"Perez","given":"Lucas Coan","non-dropping-particle":"","parse-names":false,"suffix":""},{"dropping-particle":"","family":"Brandão","given":"Julia Rossatto","non-dropping-particle":"","parse-names":false,"suffix":""},{"dropping-particle":"","family":"Camargo","given":"Rachel Ferraz","non-dropping-particle":"de","parse-names":false,"suffix":""},{"dropping-particle":"","family":"Tavares","given":"Tiago Rodrigues","non-dropping-particle":"","parse-names":false,"suffix":""},{"dropping-particle":"","family":"Almeida","given":"Eduardo","non-dropping-particle":"de","parse-names":false,"suffix":""},{"dropping-particle":"","family":"Carvalho","given":"Hudson Wallace Pereira","non-dropping-particle":"de","parse-names":false,"suffix":""}],"container-title":"bioRxiv","id":"ITEM-1","issued":{"date-parts":[["2022"]]},"title":"May mineral composition trigger or limit the protein content in soybean (Glycine max (L.) Merrill) seeds? Insights from a survey on 95 varieties cultivated in Brazil","type":"article-journal"},"uris":["http://www.mendeley.com/documents/?uuid=fad897a5-9292-348f-ae8b-6a03f0ad93bc"]}],"mendeley":{"formattedCitation":"(Montanha et al., 2022)","plainTextFormattedCitation":"(Montanha et al., 2022)","previouslyFormattedCitation":"(Montanha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noProof/>
        </w:rPr>
        <w:t>(Montanha et al., 2022)</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The high nutritional content of soybeans makes it a viable alternative food source in Indonesia.</w:t>
      </w:r>
    </w:p>
    <w:p w14:paraId="37695CB1" w14:textId="16D66AB3" w:rsidR="008829D6" w:rsidRPr="000E67DC" w:rsidRDefault="008829D6" w:rsidP="000E67DC">
      <w:pPr>
        <w:spacing w:after="0" w:line="240" w:lineRule="auto"/>
        <w:ind w:firstLine="720"/>
        <w:jc w:val="both"/>
        <w:rPr>
          <w:rFonts w:ascii="Times New Roman" w:eastAsia="Book Antiqua" w:hAnsi="Times New Roman" w:cs="Times New Roman"/>
          <w:lang w:val="en-US"/>
        </w:rPr>
      </w:pPr>
      <w:r w:rsidRPr="000E67DC">
        <w:rPr>
          <w:rFonts w:ascii="Times New Roman" w:eastAsia="Book Antiqua" w:hAnsi="Times New Roman" w:cs="Times New Roman"/>
          <w:lang w:val="en-US"/>
        </w:rPr>
        <w:t xml:space="preserve">Soybean productivity in Indonesia is still relatively low. The national demand for soybeans continues to increase each year in line with population growth and rising demand from the food industry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{"citationItems":[{"id":"ITEM-1","itemData":{"DOI":"10.14203/beritabiologi.v19i3b.3894","ISSN":"0126-1754","abstract":"Genetic diversity information on soybean germplasm will establish the success of soybean breeding program. In the present study, four qualitative morphological traits information collected from Germplasm Resources Information Network (GRIN), United States Department of Agriculture (USDA) database (www.ars-grin.gov) and 10 microsatellite markers were used to analyze the relationship among 45 accessions of subtropical introduced soybean. The morphological characters of introduced soybean accessions contributed to support the result of molecular characterization. The introduced soybean accessions used in this study were diverse based on morphological and molecular characters. Based on principle component analysis, the flower color, pod color, and growth habit contributed most of the total genetic diversity. All introduced accessions were overlap into four quadrants based on principal coordinate analysis. All microsatellite primers showed polymorphism on total accession observed. High allele variation (9–27 alleles) was observed among tested accessions, with an average allele number and Polymorphic Information Content (PIC) value of 20.7 and 0.95 (0.92–0.97), respectively. All microsatellite markers showed PIC value &gt;0.7 indicating that these markers were suitable for soybean diversity studies with high differentiation and with the average value of genetic diversity of 0.95. The phylogenetic analysis revealed that 45 soybean accessions could be divided into two major groups. Soybean accessions belonging to the same area did not always occupy the same group. The results confirmed that both morphology and molecular genetic diversity in a combined way could efficiently evaluate the variation present in different soybean accessions in any breeding program.","author":[{"dropping-particle":"","family":"Terryana","given":"Rerenstradika Tizar","non-dropping-particle":"","parse-names":false,"suffix":""},{"dropping-particle":"","family":"Safina","given":"Nickita Dewi","non-dropping-particle":"","parse-names":false,"suffix":""},{"dropping-particle":"","family":"Suryani","given":"Suryani","non-dropping-particle":"","parse-names":false,"suffix":""},{"dropping-particle":"","family":"Nugroho","given":"Kristianto","non-dropping-particle":"","parse-names":false,"suffix":""},{"dropping-particle":"","family":"Lestari","given":"Puji","non-dropping-particle":"","parse-names":false,"suffix":""}],"container-title":"Berita Biologi","id":"ITEM-1","issue":"3B","issued":{"date-parts":[["2020"]]},"title":"Analisis Keragaman Genetik Aksesi Kedelai Introduksi Dari Wilayah Subtropis Berbasis Morfologi Dan Molekuler","type":"article-journal","volume":"19"},"uris":["http://www.mendeley.com/documents/?uuid=1c195175-6023-4e89-bcdb-7e64d5e59d24"]}],"mendeley":{"formattedCitation":"(Terryana et al., 2020)","plainTextFormattedCitation":"(Terryana et al., 2020)","previouslyFormattedCitation":"(Terryana et al., 2020)"},"properties":{"noteIndex":0},"schema":"https://github.com/citation-style-language/schema/raw/master/csl-citation.json"}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(Terryana et al., 2020)</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xml:space="preserve">. The 2020 Pusdatin projection shows that soybean productivity in 2023 is 1.76 tons/ha. This figure is lower compared to the average soybean productivity over the past five years in the three major global soybean exporting countries, namely the United States (3.4 t/ha), Brazil (4 t/ha), and Argentina (2.8 t/ha) (United States Department of Agriculture, 2023). According to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{"citationItems":[{"id":"ITEM-1","itemData":{"DOI":"10.5772/intechopen.101264","abstract":"Abstract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Harsono","given":"Arief","non-dropping-particle":"","parse-names":false,"suffix":""},{"dropping-particle":"","family":"Harnowo","given":"Didik","non-dropping-particle":"","parse-names":false,"suffix":""},{"dropping-particle":"","family":"Ginting","given":"Erliana","non-dropping-particle":"","parse-names":false,"suffix":""},{"dropping-particle":"","family":"Adi Anggraeni Elisabeth","given":"Dian","non-dropping-particle":"","parse-names":false,"suffix":""}],"container-title":"Legumes Research - Volume 1","id":"ITEM-1","issued":{"date-parts":[["2022"]]},"title":"Soybean in Indonesia: Current Status, Challenges and Opportunities to Achieve Self-Sufficiency","type":"article-journal"},"uris":["http://www.mendeley.com/documents/?uuid=954238ce-6c05-4a08-9afb-6e2ab10c75a2"]}],"mendeley":{"formattedCitation":"(Harsono et al., 2022)","manualFormatting":"Harsono et al. (2022)","plainTextFormattedCitation":"(Harsono et al., 2022)","previouslyFormattedCitation":"(Harsono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7B1E4E" w:rsidRPr="000E67DC">
        <w:rPr>
          <w:rFonts w:ascii="Times New Roman" w:eastAsia="Book Antiqua" w:hAnsi="Times New Roman" w:cs="Times New Roman"/>
          <w:bCs/>
          <w:noProof/>
          <w:lang w:val="en-US"/>
        </w:rPr>
        <w:t xml:space="preserve">Harsono et al. </w:t>
      </w:r>
      <w:r w:rsidR="007E3AF8" w:rsidRPr="000E67DC">
        <w:rPr>
          <w:rFonts w:ascii="Times New Roman" w:eastAsia="Book Antiqua" w:hAnsi="Times New Roman" w:cs="Times New Roman"/>
          <w:bCs/>
          <w:noProof/>
          <w:lang w:val="en-US"/>
        </w:rPr>
        <w:t>(</w:t>
      </w:r>
      <w:r w:rsidR="007B1E4E" w:rsidRPr="000E67DC">
        <w:rPr>
          <w:rFonts w:ascii="Times New Roman" w:eastAsia="Book Antiqua" w:hAnsi="Times New Roman" w:cs="Times New Roman"/>
          <w:bCs/>
          <w:noProof/>
          <w:lang w:val="en-US"/>
        </w:rPr>
        <w:t>2022)</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xml:space="preserve">, Indonesia's total soybean production in 2023 was 576,278 tons, while the national demand for soybeans was 3,163,759 tons. The high demand for soybeans has led to continuous large-scale imports, making Indonesia dependent on soybean imports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{"citationItems":[{"id":"ITEM-1","itemData":{"DOI":"10.35870/jemsi.v9i4.1326","ISSN":"2460-5891","abstract":"Kedelai adalah salah satu komoditi pangan yang dibutuhkan masyarakat Indonesia setiap harinya. Produksi kedelai di Indonesia saat ini sangatlah rendah dan tidak mampu mencukupi kebutuhan kedelai nasional. Impor kedelai merupakan salah satu kebijakan yang dilakukan oleh Pemerintah untuk mengatasi masalah kurangnya stok kedelai dalam negeri. Penelitian ini menggunakan analisis deskriptif kuantitatif dengan teknik regresi time series untuk mengetahui hubungan antar variable. Penelitian ini dilakukan untuk mengetahui kenapa impor kedelai di Indonesia sangat tinggi. Variabel yang digunakan dalam penelitian ini yaitu Harga kedelai lokal, Produksi kedelai lokal, KURS, dan Konsumsi kedelai dalam negeri, sedangkan Impor kedelai merupakan variabel terkait. Penelitian ini menggunakan data sekunder yang didapatkan dari Badan Pusat Statistik (BPS). Hasil penelitian ini yaitu bahwa produksi kedelai memiliki pengaruh positif terhadap impor kedelai, dapat diartikan ketika produksi kedelai naik maka impor kedelai di Indonesia juga akan mengalami kenaikan. Produksi kedelai memiliki pengaruh positif terhadap impor kedelai karena rendahnya minat petani untuk menanam kedelai yang dikarenakan tingkat kesulitan dan juga harga jualnya yang rendah. Permintaan masyarakat akan kedelai hampir meningkat setiap tahunnya, hal ini terjadi karena masyarakat Indonesia menggunakan kedelai sebagai bahan makanan sehari-hari. Untuk mengatasi masalah banyaknya permintaan dan konsumsi kedelai tersebut maka salah satu alternatifnya dengan mengimpor kedelai agar dapat memenuhi permintaan pasar karena produksi kedelai lokal belum mampu untuk memenuhinya. Ketika permintaan pasar akan kedelai tidak terpenuhi maka akan menimbulkan masalah baru yaitu melambungnya harga kedelai. Maka satu-satunya cara untuk memenuhinya adalah dengan melakukan pengimporan kedelai.","author":[{"dropping-particle":"","family":"Aldri Vauzia Ardiansyah","given":"","non-dropping-particle":"","parse-names":false,"suffix":""},{"dropping-particle":"","family":"Sitti Retno Faridatussalam","given":"","non-dropping-particle":"","parse-names":false,"suffix":""}],"container-title":"JEMSI (Jurnal Ekonomi, Manajemen, dan Akuntansi)","id":"ITEM-1","issue":"4","issued":{"date-parts":[["2023"]]},"page":"1354-1358","title":"Analisis Pengaruh Harga Kedelai Lokal, Produksi Kedelai Lokal, Kurs, Dan Konsumsi Kedelai Dalam Negeri Terhadap Tingginya Impor Kedelai Di Indonesia Tahun 1997-2021","type":"article-journal","volume":"9"},"uris":["http://www.mendeley.com/documents/?uuid=60d71f25-b011-4888-91f1-05e637b4a4c0"]}],"mendeley":{"formattedCitation":"(Aldri Vauzia Ardiansyah &amp; Sitti Retno Faridatussalam, 2023)","manualFormatting":"Ardiansyah &amp; Faridatussalam (2023)","plainTextFormattedCitation":"(Aldri Vauzia Ardiansyah &amp; Sitti Retno Faridatussalam, 2023)","previouslyFormattedCitation":"(Aldri Vauzia Ardiansyah &amp; Sitti Retno Faridatussalam, 2023)"},"properties":{"noteIndex":0},"schema":"https://github.com/citation-style-language/schema/raw/master/csl-citation.json"}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7B1E4E" w:rsidRPr="000E67DC">
        <w:rPr>
          <w:rFonts w:ascii="Times New Roman" w:eastAsia="Book Antiqua" w:hAnsi="Times New Roman" w:cs="Times New Roman"/>
          <w:bCs/>
          <w:noProof/>
          <w:lang w:val="en-US"/>
        </w:rPr>
        <w:t>Ardiansyah &amp; Faridatussalam</w:t>
      </w:r>
      <w:r w:rsidR="007E3AF8" w:rsidRPr="000E67DC">
        <w:rPr>
          <w:rFonts w:ascii="Times New Roman" w:eastAsia="Book Antiqua" w:hAnsi="Times New Roman" w:cs="Times New Roman"/>
          <w:bCs/>
          <w:noProof/>
          <w:lang w:val="en-US"/>
        </w:rPr>
        <w:t xml:space="preserve"> (</w:t>
      </w:r>
      <w:r w:rsidR="007B1E4E" w:rsidRPr="000E67DC">
        <w:rPr>
          <w:rFonts w:ascii="Times New Roman" w:eastAsia="Book Antiqua" w:hAnsi="Times New Roman" w:cs="Times New Roman"/>
          <w:bCs/>
          <w:noProof/>
          <w:lang w:val="en-US"/>
        </w:rPr>
        <w:t>2023)</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Therefore, reliance on soybean imports will have an impact on Indonesia's overall food security.</w:t>
      </w:r>
    </w:p>
    <w:p w14:paraId="6015B642" w14:textId="52EC4185" w:rsidR="008829D6" w:rsidRPr="000E67DC" w:rsidRDefault="007638D5" w:rsidP="000E67DC">
      <w:pPr>
        <w:spacing w:after="0" w:line="240" w:lineRule="auto"/>
        <w:ind w:firstLine="720"/>
        <w:jc w:val="both"/>
        <w:rPr>
          <w:rFonts w:ascii="Times New Roman" w:eastAsia="Book Antiqua" w:hAnsi="Times New Roman" w:cs="Times New Roman"/>
          <w:lang w:val="en-US"/>
        </w:rPr>
      </w:pPr>
      <w:r w:rsidRPr="000E67DC">
        <w:rPr>
          <w:rFonts w:ascii="Times New Roman" w:eastAsia="Book Antiqua" w:hAnsi="Times New Roman" w:cs="Times New Roman"/>
          <w:lang w:val="en-US"/>
        </w:rPr>
        <w:t xml:space="preserve">The increasing demand for soybean has made enhancing its productivity a priority in agriculture </w:t>
      </w:r>
      <w:r w:rsidR="008829D6" w:rsidRPr="000E67DC">
        <w:rPr>
          <w:rFonts w:ascii="Times New Roman" w:eastAsia="Book Antiqua" w:hAnsi="Times New Roman" w:cs="Times New Roman"/>
          <w:lang w:val="en-US"/>
        </w:rPr>
        <w:t xml:space="preserve">sector. </w:t>
      </w:r>
      <w:r w:rsidRPr="000E67DC">
        <w:rPr>
          <w:rFonts w:ascii="Times New Roman" w:eastAsia="Book Antiqua" w:hAnsi="Times New Roman" w:cs="Times New Roman"/>
          <w:lang w:val="en-US"/>
        </w:rPr>
        <w:t>Soybean yield is affected by factors such as agroclimatic conditions, land management, and the genetic characteristics of each variety.</w:t>
      </w:r>
      <w:r w:rsidRPr="000E67DC">
        <w:rPr>
          <w:rStyle w:val="FootnoteReference"/>
          <w:rFonts w:ascii="Times New Roman" w:eastAsia="Book Antiqua" w:hAnsi="Times New Roman" w:cs="Times New Roman"/>
          <w:vertAlign w:val="baseline"/>
          <w:lang w:val="en-US"/>
        </w:rPr>
        <w:t xml:space="preserve">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{"citationItems":[{"id":"ITEM-1","itemData":{"DOI":"10.1186/s43141-022-00386-5","ISSN":"20905920","abstract":"Background: Global food supply is highly dependent on field crop production that is currently severely threatened by changing climate, poor soil quality, abiotic, and biotic stresses. For instance, one of the major challenges to sustainable crop production in most developing countries is limited nitrogen in the soil. Symbiotic nitrogen fixation of legumes such as soybean (Glycine max (L.) Merril) with rhizobia plays a crucial role in supplying nitrogen sufficient to maintain good crop productivity. Characterization of indigenous bradyrhizobia is a prerequisite in the selection and development of effective bioinoculants. In view of this, bradyrhizobia were isolated from soybean nodules in four agro-climatic zones of eastern Kenya (Embu Upper Midland Zone, Embu Lower Midland Zone, Tharaka Upper Midland Zone, and Tharaka Lower Midland Zone) using two soybean varieties (SB8 and SB126). The isolates were characterized using biochemical, morphological, and genotypic approaches. DNA fingerprinting was carried out using 16S rRNA gene and restricted by enzymes HaeIII, Msp1, and EcoRI. Results: Thirty-eight (38) bradyrhizobia isolates obtained from the trapping experiments were placed into nine groups based on their morphological and biochemical characteristics. Most (77%) of the isolates had characteristics of fast-grower bradyrhizobia while 23% were slow-growers. Restriction digest revealed significant (p &lt; 0.015) variation within populations and not among the agro-climatic zones based on analysis of molecular variance. Principal coordinate analysis demonstrated sympatric speciation of indigenous bradyrhizobia isolates. Embu Upper Midland Zone bradyrhizobia isolates had the highest polymorphic loci (80%) and highest genetic diversity estimates (H’ = 0.419) compared to other agro-climatic zones. Conclusion: The high diversity of bradyrhizobia isolates depicts a valuable genetic resource for selecting more effective and competitive strains to improve promiscuous soybean production at a low cost through biological nitrogen fixation.","author":[{"dropping-particle":"","family":"Mburu","given":"Simon W.","non-dropping-particle":"","parse-names":false,"suffix":""},{"dropping-particle":"","family":"Koskey","given":"Gilbert","non-dropping-particle":"","parse-names":false,"suffix":""},{"dropping-particle":"","family":"Njeru","given":"Ezekiel M.","non-dropping-particle":"","parse-names":false,"suffix":""},{"dropping-particle":"","family":"Ombori","given":"Omwoyo","non-dropping-particle":"","parse-names":false,"suffix":""},{"dropping-particle":"","family":"Maingi","given":"John","non-dropping-particle":"","parse-names":false,"suffix":""},{"dropping-particle":"","family":"Kimiti","given":"Jacinta M.","non-dropping-particle":"","parse-names":false,"suffix":""}],"container-title":"Journal of Genetic Engineering and Biotechnology","id":"ITEM-1","issue":"1","issued":{"date-parts":[["2022"]]},"page":"109","publisher":"The Authors. Academy of Scientific Research and Technology. Published by Elsevier BV.","title":"Genetic and phenotypic diversity of microsymbionts nodulating promiscuous soybeans from different agro-climatic conditions","type":"article-journal","volume":"20"},"uris":["http://www.mendeley.com/documents/?uuid=d1a3fdd1-6ae5-4b87-9fb0-69fb852120e0"]},{"id":"ITEM-2","itemData":{"DOI":"10.1007/s13353-024-00889-6","ISBN":"0123456789","ISSN":"21903883","abstract":"Europe is highly dependent on soybean meal imports and anticipates an increase of domestic plant protein production. Ongoing climate change resulted in northward shift of plant hardiness zones, enabling spring-sowing of freezing-sensitive crops, including soybean. However, it requires efficient reselection of germplasm adapted to relatively short growing season and long-day photoperiod. In the present study, a PCR array has been implemented, targeting early maturity (E1–E4, E7, E9, and E10), pod shattering (qPHD1), and growth determination (Dt1) genes. This array was optimized for routine screening of soybean diversity panel (204 accessions), subjected to the 2018–2020 survey of phenology, morphology, and yield-related traits in a potential cultivation region in Poland. High broad-sense heritability (0.84–0.88) was observed for plant height, thousand grain weight, maturity date, and the first pod height. Significant positive correlations were identified between the number of seeds and pods per plant, between these two traits and seed yield per plant as well as between flowering, maturity, plant height, and first pod height. PCR array genotyping revealed high genetic diversity, yielding 98 allelic combinations. The most remarkable correlations were identified between flowering and E7 or E1, between maturity and E4 or E7 and between plant height and Dt1 or E4. The study demonstrated high applicability of this PCR array for molecular selection of soybean towards adaptation to Central Europe, designating recessive qPHD1 and dominant Dt1, E3, and E4 alleles as major targets to align soybean growth season requirements with the length of the frost-free period, improve plant performance, and increase yield.","author":[{"dropping-particle":"","family":"Rychel-Bielska","given":"Sandra","non-dropping-particle":"","parse-names":false,"suffix":""},{"dropping-particle":"","family":"Książkiewicz","given":"Michał","non-dropping-particle":"","parse-names":false,"suffix":""},{"dropping-particle":"","family":"Kurasiak-Popowska","given":"Danuta","non-dropping-particle":"","parse-names":false,"suffix":""},{"dropping-particle":"","family":"Tomkowiak","given":"Agnieszka","non-dropping-particle":"","parse-names":false,"suffix":""},{"dropping-particle":"","family":"Bielski","given":"Wojciech","non-dropping-particle":"","parse-names":false,"suffix":""},{"dropping-particle":"","family":"Weigt","given":"Dorota","non-dropping-particle":"","parse-names":false,"suffix":""},{"dropping-particle":"","family":"Niemann","given":"Janetta","non-dropping-particle":"","parse-names":false,"suffix":""},{"dropping-particle":"","family":"Surma","given":"Anna","non-dropping-particle":"","parse-names":false,"suffix":""},{"dropping-particle":"","family":"Kozak","given":"Bartosz","non-dropping-particle":"","parse-names":false,"suffix":""},{"dropping-particle":"","family":"Nawracała","given":"Jerzy","non-dropping-particle":"","parse-names":false,"suffix":""}],"container-title":"Journal of Applied Genetics","id":"ITEM-2","issued":{"date-parts":[["2024"]]},"publisher":"Springer Berlin Heidelberg","title":"Molecular selection of soybean towards adaptation to Central European agroclimatic conditions","type":"article-journal"},"uris":["http://www.mendeley.com/documents/?uuid=78e10200-b92b-4f59-bad6-58f8d30f815e"]}],"mendeley":{"formattedCitation":"(Mburu et al., 2022; Rychel-Bielska et al., 2024)","plainTextFormattedCitation":"(Mburu et al., 2022; Rychel-Bielska et al., 2024)","previouslyFormattedCitation":"(Mburu et al., 2022; Rychel-Bielska et al., 2024)"},"properties":{"noteIndex":0},"schema":"https://github.com/citation-style-language/schema/raw/master/csl-citation.json"}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(Mburu et al., 2022; Rychel-Bielska et al., 2024)</w:t>
      </w:r>
      <w:r w:rsidR="007B1E4E" w:rsidRPr="000E67DC">
        <w:rPr>
          <w:rStyle w:val="FootnoteReference"/>
          <w:rFonts w:ascii="Times New Roman" w:eastAsia="Book Antiqua" w:hAnsi="Times New Roman" w:cs="Times New Roman"/>
        </w:rPr>
        <w:fldChar w:fldCharType="end"/>
      </w:r>
      <w:r w:rsidR="008829D6" w:rsidRPr="000E67DC">
        <w:rPr>
          <w:rFonts w:ascii="Times New Roman" w:eastAsia="Book Antiqua" w:hAnsi="Times New Roman" w:cs="Times New Roman"/>
          <w:lang w:val="en-US"/>
        </w:rPr>
        <w:t xml:space="preserve">. Basically, wetland have the ability to store water longer than </w:t>
      </w:r>
      <w:r w:rsidR="00FF0296" w:rsidRPr="000E67DC">
        <w:rPr>
          <w:rFonts w:ascii="Times New Roman" w:eastAsia="Book Antiqua" w:hAnsi="Times New Roman" w:cs="Times New Roman"/>
          <w:lang w:val="en-US"/>
        </w:rPr>
        <w:t>dry</w:t>
      </w:r>
      <w:r w:rsidR="008829D6" w:rsidRPr="000E67DC">
        <w:rPr>
          <w:rFonts w:ascii="Times New Roman" w:eastAsia="Book Antiqua" w:hAnsi="Times New Roman" w:cs="Times New Roman"/>
          <w:lang w:val="en-US"/>
        </w:rPr>
        <w:t xml:space="preserve">lands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10.1007/s11273-022-09887-z","ISBN":"0123456789","ISSN":"15729834","author":[{"dropping-particle":"","family":"Grenfell","given":"Suzanne","non-dropping-particle":"","parse-names":false,"suffix":""},{"dropping-particle":"","family":"Grenfell","given":"Michael","non-dropping-particle":"","parse-names":false,"suffix":""},{"dropping-particle":"","family":"Tooth","given":"Stephen","non-dropping-particle":"","parse-names":false,"suffix":""},{"dropping-particle":"","family":"Mehl","given":"Adriana","non-dropping-particle":"","parse-names":false,"suffix":""},{"dropping-particle":"","family":"O’Gorman","given":"Emily","non-dropping-particle":"","parse-names":false,"suffix":""},{"dropping-particle":"","family":"Ralph","given":"Tim","non-dropping-particle":"","parse-names":false,"suffix":""},{"dropping-particle":"","family":"Ellery","given":"William","non-dropping-particle":"","parse-names":false,"suffix":""}],"container-title":"Wetlands Ecology and Management","id":"ITEM-1","issue":"4","issued":{"date-parts":[["2022"]]},"page":"607-622","publisher":"Springer Netherlands","title":"Wetlands in drylands: diverse perspectives for dynamic landscapes","type":"article-journal","volume":"30"},"uris":["http://www.mendeley.com/documents/?uuid=0ca6adf5-e644-4d57-8e35-47f58aa1c002"]}],"mendeley":{"formattedCitation":"(Grenfell et al., 2022)","plainTextFormattedCitation":"(Grenfell et al., 2022)","previouslyFormattedCitation":"(Grenfell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(Grenfell et al., 2022)</w:t>
      </w:r>
      <w:r w:rsidR="007B1E4E" w:rsidRPr="000E67DC">
        <w:rPr>
          <w:rStyle w:val="FootnoteReference"/>
          <w:rFonts w:ascii="Times New Roman" w:eastAsia="Book Antiqua" w:hAnsi="Times New Roman" w:cs="Times New Roman"/>
        </w:rPr>
        <w:fldChar w:fldCharType="end"/>
      </w:r>
      <w:r w:rsidR="008829D6" w:rsidRPr="000E67DC">
        <w:rPr>
          <w:rFonts w:ascii="Times New Roman" w:eastAsia="Book Antiqua" w:hAnsi="Times New Roman" w:cs="Times New Roman"/>
          <w:lang w:val="en-US"/>
        </w:rPr>
        <w:t xml:space="preserve">. Research conducted by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{"citationItems":[{"id":"ITEM-1","itemData":{"DOI":"10.18517/ijaseit.12.5.12720","ISSN":"24606952","abstract":"The agroecosystem for soybean cultivation in Indonesia is diverse, such as the acidic dryland and the wetland after rice cultivation. This research aims to evaluate the performance of seed yield and agronomic traits and identify soybean genotypes with good adaptation in the acidic dryland and wetland environments. Twelve soybean genotypes were evaluated for their yield and yield components in Lampung (dry land) and Banyuwangi (wetland). The result showed the similarity in the days to flowering and maturity between land types. The average performance of the plant height, number of branches, number of fertile nodes, and number of filled pods in the wetland was higher than in the acidic dryland. The average 100 seeds weight in acidic dryland and wetland were 13.00 g and 17.13 g, respectively. The seed yield in the acidic dryland and wetland were 2.12 t/ha and 3.37 t/ha, respectively. Based on the seed yield, there were three groups of adaptive genotypes. The first group consists of genotype adaptive in the acidic dryland (SPL-186, 2.85 t/ha), the second group consists of genotype adaptive in the wetland, namely (SPL-183, 3.59 t/ha), and the third group consists of genotypes adaptive in both land types (SPL-182 and SPL-181, 3.05 and 3.07 t/ha, respectively). The SPL-182 and SPL-181 maintained their high potential yield both in the acidic dryland and wetland, implying adaptable genotypes. Those genotypes are recommended to be developed in acidic dryland as well as the wetland. These findings pave the way for increasing soybean yield productivity.","author":[{"dropping-particle":"","family":"Adie","given":"M. Muchlish","non-dropping-particle":"","parse-names":false,"suffix":""},{"dropping-particle":"","family":"Baliadi","given":"Yuliantoro","non-dropping-particle":"","parse-names":false,"suffix":""},{"dropping-particle":"","family":"Yusnawan","given":"Eriyanto","non-dropping-particle":"","parse-names":false,"suffix":""},{"dropping-particle":"","family":"Wijanarko","given":"Andy","non-dropping-particle":"","parse-names":false,"suffix":""},{"dropping-particle":"","family":"Krisnawati","given":"Ayda","non-dropping-particle":"","parse-names":false,"suffix":""}],"container-title":"International Journal on Advanced Science, Engineering and Information Technology","id":"ITEM-1","issue":"5","issued":{"date-parts":[["2022"]]},"page":"1812-1817","title":"Performance of Soybean Genotypes in the Acidic Dryland and Wetland","type":"article-journal","volume":"12"},"uris":["http://www.mendeley.com/documents/?uuid=835219f3-d7d9-41cc-938e-075fedd2486a"]}],"mendeley":{"formattedCitation":"(Adie et al., 2022)","manualFormatting":"Adie et al. (2022)","plainTextFormattedCitation":"(Adie et al., 2022)","previouslyFormattedCitation":"(Adie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7B1E4E" w:rsidRPr="000E67DC">
        <w:rPr>
          <w:rFonts w:ascii="Times New Roman" w:eastAsia="Book Antiqua" w:hAnsi="Times New Roman" w:cs="Times New Roman"/>
          <w:bCs/>
          <w:noProof/>
          <w:lang w:val="en-US"/>
        </w:rPr>
        <w:t xml:space="preserve">Adie et al. </w:t>
      </w:r>
      <w:r w:rsidR="007E3AF8" w:rsidRPr="000E67DC">
        <w:rPr>
          <w:rFonts w:ascii="Times New Roman" w:eastAsia="Book Antiqua" w:hAnsi="Times New Roman" w:cs="Times New Roman"/>
          <w:bCs/>
          <w:noProof/>
          <w:lang w:val="en-US"/>
        </w:rPr>
        <w:t>(</w:t>
      </w:r>
      <w:r w:rsidR="007B1E4E" w:rsidRPr="000E67DC">
        <w:rPr>
          <w:rFonts w:ascii="Times New Roman" w:eastAsia="Book Antiqua" w:hAnsi="Times New Roman" w:cs="Times New Roman"/>
          <w:bCs/>
          <w:noProof/>
          <w:lang w:val="en-US"/>
        </w:rPr>
        <w:t>2022)</w:t>
      </w:r>
      <w:r w:rsidR="007B1E4E" w:rsidRPr="000E67DC">
        <w:rPr>
          <w:rStyle w:val="FootnoteReference"/>
          <w:rFonts w:ascii="Times New Roman" w:eastAsia="Book Antiqua" w:hAnsi="Times New Roman" w:cs="Times New Roman"/>
        </w:rPr>
        <w:fldChar w:fldCharType="end"/>
      </w:r>
      <w:r w:rsidR="008829D6" w:rsidRPr="000E67DC">
        <w:rPr>
          <w:rFonts w:ascii="Times New Roman" w:eastAsia="Book Antiqua" w:hAnsi="Times New Roman" w:cs="Times New Roman"/>
          <w:lang w:val="en-US"/>
        </w:rPr>
        <w:t xml:space="preserve"> found that some soybean varieties showed better performance when planted on wetland compared to dryland. Understanding the interaction between soybean and the growing environment, especially in wetland, is very important to increase yield.</w:t>
      </w:r>
    </w:p>
    <w:p w14:paraId="3BFDF884" w14:textId="1A76E2A8" w:rsidR="008829D6" w:rsidRPr="000E67DC" w:rsidRDefault="008829D6" w:rsidP="000E67DC">
      <w:pPr>
        <w:spacing w:after="0" w:line="240" w:lineRule="auto"/>
        <w:ind w:firstLine="720"/>
        <w:jc w:val="both"/>
        <w:rPr>
          <w:rFonts w:ascii="Times New Roman" w:eastAsia="Book Antiqua" w:hAnsi="Times New Roman" w:cs="Times New Roman"/>
          <w:lang w:val="en-US"/>
        </w:rPr>
      </w:pPr>
      <w:r w:rsidRPr="000E67DC">
        <w:rPr>
          <w:rFonts w:ascii="Times New Roman" w:eastAsia="Book Antiqua" w:hAnsi="Times New Roman" w:cs="Times New Roman"/>
          <w:lang w:val="en-US"/>
        </w:rPr>
        <w:t xml:space="preserve">The dry season can be utilized as an alternative for crop cultivation to meet national food needs and has great potential in diversifying planting times and extending the annual production period. However, drought stress leads to a reduction in photosynthetic carbon assimilation capacity, which seriously affects </w:t>
      </w:r>
      <w:r w:rsidRPr="000E67DC">
        <w:rPr>
          <w:rFonts w:ascii="Times New Roman" w:eastAsia="Book Antiqua" w:hAnsi="Times New Roman" w:cs="Times New Roman"/>
          <w:lang w:val="en-US"/>
        </w:rPr>
        <w:lastRenderedPageBreak/>
        <w:t xml:space="preserve">soybean seed weight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{"citationItems":[{"id":"ITEM-1","itemData":{"DOI":"10.3390/ijms21020618","ISSN":"14220067","PMID":"31963537","abstract":"Sucrose is the main photosynthesis product of plants and the fundamental carbon skeleton monomer and energy supply for seed formation and development. Drought stress induces decreased photosynthetic carbon assimilation capacity, and seriously affects seed weight in soybean. However, little is known about the relationship between decreases in soybean seed yield and disruption of sucrose metabolism and transport balance in leaves and seeds during the reproductive stages of crop growth. Three soybean cultivars with similar growth periods, “Shennong17”, “Shennong8”, and “Shennong12”, were subjected to drought stress during reproductive growth for 45 days. Drought stress significantly reduced leaf photosynthetic rate, shoot biomass, and seed weight by 63.93, 33.53, and 41.65%, respectively. Drought stress increased soluble sugar contents, the activities of sucrose phosphate synthase, sucrose synthase, and acid invertase enzymes, and up-regulated the expression levels of GmSPS1, GmSuSy2, and GmA-INV, but decreased starch content by 15.13% in leaves. Drought stress decreased the contents of starch, fructose, and glucose in seeds during the late seed filling stages, while it induced sucrose accumulation, which resulted in a decreased hexose-to-sucrose ratio. In developing seeds, the activities of sucrose synthesis and degradation enzymes, the expression levels of genes related to metabolism, and the expression levels of sucrose transporter genes were enhanced during early seed development under drought stress; however, under prolonged drought stress, all of them decreased. These results demonstrated that drought stress enhances the capacity for unloading sucrose into seeds and activated sucrose metabolism during early seed development. At the middle and late seed filling stages, sucrose flow from leaves to seeds was diminished, and the balance of sucrose metabolism was impaired in seeds, resulting in seed mass reduction. The different regulation strategies in sucrose allocation, metabolism, and transport during different seed development stages may be one of the physiological mechanisms for soybean plants to resist drought stress.","author":[{"dropping-particle":"","family":"Du","given":"Yanli","non-dropping-particle":"","parse-names":false,"suffix":""},{"dropping-particle":"","family":"Zhao","given":"Qiang","non-dropping-particle":"","parse-names":false,"suffix":""},{"dropping-particle":"","family":"Chen","given":"Liru","non-dropping-particle":"","parse-names":false,"suffix":""},{"dropping-particle":"","family":"Yao","given":"Xingdong","non-dropping-particle":"","parse-names":false,"suffix":""},{"dropping-particle":"","family":"Zhang","given":"Huijun","non-dropping-particle":"","parse-names":false,"suffix":""},{"dropping-particle":"","family":"Wu","given":"Junjiang","non-dropping-particle":"","parse-names":false,"suffix":""},{"dropping-particle":"","family":"Xie","given":"Futi","non-dropping-particle":"","parse-names":false,"suffix":""}],"container-title":"International Journal of Molecular Sciences","id":"ITEM-1","issue":"2","issued":{"date-parts":[["2020"]]},"page":"1-19","title":"Effect of drought stress during soybean r2–r6 growth stages on sucrose metabolism in leaf and seed","type":"article-journal","volume":"21"},"uris":["http://www.mendeley.com/documents/?uuid=08e9a355-ef2c-4307-bdcc-a6e4135c624e"]}],"mendeley":{"formattedCitation":"(Du, Zhao, Chen, Yao, Zhang, et al., 2020)","plainTextFormattedCitation":"(Du, Zhao, Chen, Yao, Zhang, et al., 2020)","previouslyFormattedCitation":"(Du, Zhao, Chen, Yao, Zhang, et al., 2020)"},"properties":{"noteIndex":0},"schema":"https://github.com/citation-style-language/schema/raw/master/csl-citation.json"}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(Du, Zhao, Chen, Yao, Zhang, et al., 2020)</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xml:space="preserve">. The accumulation of photosynthetic products varies greatly between plant species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{"citationItems":[{"id":"ITEM-1","itemData":{"ISBN":"0000957720","ISSN":"17187729","PMID":"30111972","abstract":"The synthesis of seed storage reserves occurs during seed filling, and many seeds contain large and characteristic levels of polymeric reserves. Storage reserves are found in the endosperm of cereal seeds and in the endosperm and/or cotyledons of dicot seeds depending of the plant crop species. Recently progress has been made in understanding the complex network of genetic regulation associated with seed filling. These advances in storage reserve quantity and nutrient quality contribute to a comprehensive under- standing of reserve composition, synthesis, and regulation. Phytohormones such as abscisic acid (ABA), cytokinin, gibberellic acid, Indole-3-acetic acid (IAA), ethylene and their interactions play critical roles in seed filling and development. At different stages of seed development, the levels of different hormones such as ABA, IAA zeatin and zeatin riboside changes gradually from the beginning of the process to maturity. In addition, the quality and yield of seed storage reserves are significantly affected by the environmental conditions before and during the synthesis of the reserves. Given the fateful importance of seed storage reserves for food and feed and their use as sustainable industrial feedstock to replace dwindling fossil reserves, understanding the metabolic and developmental control of seed filling will be an important focus of plant research.","author":[{"dropping-particle":"","family":"Onder","given":"sercan","non-dropping-particle":"","parse-names":false,"suffix":""},{"dropping-particle":"","family":"Erbas","given":"Sabri","non-dropping-particle":"","parse-names":false,"suffix":""},{"dropping-particle":"","family":"Onder","given":"Damla","non-dropping-particle":"","parse-names":false,"suffix":""},{"dropping-particle":"","family":"Tonguc","given":"Muhammet","non-dropping-particle":"","parse-names":false,"suffix":""},{"dropping-particle":"","family":"Mutlucan","given":"Murat","non-dropping-particle":"","parse-names":false,"suffix":""}],"container-title":"IntechOpen","id":"ITEM-1","issue":"tourism","issued":{"date-parts":[["2022"]]},"page":"13","title":"seed filling","type":"article-journal","volume":"11"},"uris":["http://www.mendeley.com/documents/?uuid=0eaacb42-bfc7-4f18-8b4d-bf4b21d6c22a"]}],"mendeley":{"formattedCitation":"(Onder et al., 2022)","plainTextFormattedCitation":"(Onder et al., 2022)","previouslyFormattedCitation":"(Onder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(Onder et al., 2022)</w:t>
      </w:r>
      <w:r w:rsidR="007B1E4E"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lang w:val="en-US"/>
        </w:rPr>
        <w:t xml:space="preserve">. Additionally, long-term drought stress decreases biomass allocation to reproductive organs, alters photosynthetic pigments, weakens antioxidant capacity, and reduces seed weight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{"citationItems":[{"id":"ITEM-1","itemData":{"DOI":"10.3390/agronomy10020302","ISSN":"20734395","abstract":"This study aims to determine variability among soybean (Glycine max (L.) Merr.) cultivars under drought conditions and how nitrogen metabolites, metabolism-related enzymes, and gene expression vary during soybean growth. Three soybean cultivars, Shennong17 (CV.SN17), Shennong8 (CV.SN8), and Shennong12 (CV.SN12), were grown in pot culture and subjected to drought stress at reproductive stages for 45 days. The results showed that long-term drought stress decreased biomass allocation to reproductive organs, weakened antioxidant capacity, and reduced seed weight, effects that were less pronounced in CV.SN12 compared with those in CV.SN8 and CV.SN17. Drought stress decreased the concentrations of nitrogen and soluble protein but increased nitrate concentration in leaves. This was related to the significantly reduction of nitrogen metabolism efficiency, including decreased activities of nitrogen metabolism enzymes, and downregulated expression of GmNR, GmNiR, GmGS, and GmGOGAT. Drought stress increased the concentrations of free amino acid, proline, and soluble sugar in leaves to enhance the osmotic adjustment ability. Furthermore, soybean seed weight showed significantly correlation (p &lt; 0.05) with nitrogen-metabolism-related parameters. Based on the performance of growth, nitrogen metabolism, and yield attributes, CV.SN12 showed the highest tolerance to drought, followed by CV.SN8 and CV.SN17. In addition, these nitrogen-metabolism-related parameters could be used in soybeans to select for drought tolerance.","author":[{"dropping-particle":"","family":"Du","given":"Yanli","non-dropping-particle":"","parse-names":false,"suffix":""},{"dropping-particle":"","family":"Zhao","given":"Qiang","non-dropping-particle":"","parse-names":false,"suffix":""},{"dropping-particle":"","family":"Chen","given":"Liru","non-dropping-particle":"","parse-names":false,"suffix":""},{"dropping-particle":"","family":"Yao","given":"Xingdong","non-dropping-particle":"","parse-names":false,"suffix":""},{"dropping-particle":"","family":"Xie","given":"Futi","non-dropping-particle":"","parse-names":false,"suffix":""}],"container-title":"Agronomy","id":"ITEM-1","issue":"2","issued":{"date-parts":[["2020"]]},"title":"Effect of drought stress at reproductive stages on growth and nitrogen metabolism in soybean","type":"article-journal","volume":"10"},"uris":["http://www.mendeley.com/documents/?uuid=422c27f3-d7d7-4f98-a532-fceb21869f25"]},{"id":"ITEM-2","itemData":{"DOI":"10.1016/j.agwat.2022.107620","ISSN":"18732283","abstract":"As most of the soybean in Europe is grown in rainfed conditions, climate aberrations are causing significant crop yield variability. To stabilise the yield and shift the sources of supply to European-grown soybean, stable and adaptable cultivars must be created by breeding. To better understand the mechanism of drought tolerance in specific germplasm, more knowledge needs to be acquired by research. Therefore, this research aimed to examine the physiological insights on soybean response to drought exposed plants (50% available water holding capacity) by monitoring the relative water content (RWC), lipid peroxidation (TBARS), pigments (Chl a and b), proteins and photosynthetic efficiency during five days in the pod stage. The decrease of RWC in both tested genotypes due to the drought effect, coupled with TBARS increase, indicates lipid peroxidation, which resulted in photosynthetic pigment and protein changes. Most of the chlorophyll a fluorescence parameters suggested plants initiated a defence mechanism to water deficiency, i.e. there was an initial adjustment on the first and second day of drought exposed plants, followed by drastic changes in electron flow in photosystem II (PSII). According to the correlation analysis, the effect of drought was prevalent for Chl b, Chl a/b, relative variable fluorescence at 30 ms (VI), the density of reaction centres (RC/CS0), absorption, trapping, electron transport and dissipation flux per reaction centre (ABS/RC, TR0/RC, ET0/RC and DI0/RC), plastoquinone at quinone A binding niche reducing RCs per PSII antenna chlorophylls (RC/ABS) and performance index (PIABS), meaning these parameters are good indicators of drought stress, that can facilitate the selection of genotypes and increase the efficiency of breeding programmes. Among tested materials, Korana had lower sensitivity to drought and smaller reduction of yield components than OS-211, indicating a better response of its defence mechanism to oxidative stress caused by lack of water. The methods tested and confirmed in this research could be used for screening large numbers of genotypes to determine in the soybean breeding programs aiming to select superior genotypes adaptable to weather changes.","author":[{"dropping-particle":"","family":"Markulj Kulundžić","given":"Antonela","non-dropping-particle":"","parse-names":false,"suffix":""},{"dropping-particle":"","family":"Josipović","given":"Ana","non-dropping-particle":"","parse-names":false,"suffix":""},{"dropping-particle":"","family":"Matoša Kočar","given":"Maja","non-dropping-particle":"","parse-names":false,"suffix":""},{"dropping-particle":"","family":"Viljevac Vuletić","given":"Marija","non-dropping-particle":"","parse-names":false,"suffix":""},{"dropping-particle":"","family":"Antunović Dunić","given":"Jasenka","non-dropping-particle":"","parse-names":false,"suffix":""},{"dropping-particle":"","family":"Varga","given":"Ivana","non-dropping-particle":"","parse-names":false,"suffix":""},{"dropping-particle":"","family":"Cesar","given":"Vera","non-dropping-particle":"","parse-names":false,"suffix":""},{"dropping-particle":"","family":"Sudarić","given":"Aleksandra","non-dropping-particle":"","parse-names":false,"suffix":""},{"dropping-particle":"","family":"Lepeduš","given":"Hrvoje","non-dropping-particle":"","parse-names":false,"suffix":""}],"container-title":"Agricultural Water Management","id":"ITEM-2","issue":"March","issued":{"date-parts":[["2022"]]},"title":"Physiological insights on soybean response to drought","type":"article-journal","volume":"268"},"uris":["http://www.mendeley.com/documents/?uuid=bd74c3c6-f9af-446f-9f62-648106eda33d"]}],"mendeley":{"formattedCitation":"(Du, Zhao, Chen, Yao, &amp; Xie, 2020; Markulj Kulundžić et al., 2022)","manualFormatting":"(Du, Zhao, Chen, 2020; Markulj Kulundžić et al., 2022)","plainTextFormattedCitation":"(Du, Zhao, Chen, Yao, &amp; Xie, 2020; Markulj Kulundžić et al., 2022)","previouslyFormattedCitation":"(Du, Zhao, Chen, Yao, &amp; Xie, 2020; Markulj Kulundžić et al., 2022)"},"properties":{"noteIndex":0},"schema":"https://github.com/citation-style-language/schema/raw/master/csl-citation.json"}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2D2D54" w:rsidRPr="002D2D54">
        <w:rPr>
          <w:rFonts w:ascii="Times New Roman" w:eastAsia="Book Antiqua" w:hAnsi="Times New Roman" w:cs="Times New Roman"/>
          <w:bCs/>
          <w:noProof/>
          <w:lang w:val="en-US"/>
        </w:rPr>
        <w:t>(Du, Zhao, Chen, 2020; Markulj Kulundžić et al., 2022)</w:t>
      </w:r>
      <w:r w:rsidR="007B1E4E" w:rsidRPr="000E67DC">
        <w:rPr>
          <w:rStyle w:val="FootnoteReference"/>
          <w:rFonts w:ascii="Times New Roman" w:eastAsia="Book Antiqua" w:hAnsi="Times New Roman" w:cs="Times New Roman"/>
        </w:rPr>
        <w:fldChar w:fldCharType="end"/>
      </w:r>
      <w:r w:rsidR="00FF0296" w:rsidRPr="000E67DC">
        <w:rPr>
          <w:rFonts w:ascii="Times New Roman" w:eastAsia="Book Antiqua" w:hAnsi="Times New Roman" w:cs="Times New Roman"/>
        </w:rPr>
        <w:t xml:space="preserve">. </w:t>
      </w:r>
      <w:r w:rsidRPr="000E67DC">
        <w:rPr>
          <w:rFonts w:ascii="Times New Roman" w:eastAsia="Book Antiqua" w:hAnsi="Times New Roman" w:cs="Times New Roman"/>
          <w:lang w:val="en-US"/>
        </w:rPr>
        <w:t>Therefore, selecting drought-tolerant soybean varieties is necessary to ensure optimal growth even under limited water supply conditions.</w:t>
      </w:r>
    </w:p>
    <w:p w14:paraId="1933A112" w14:textId="2831D1FA" w:rsidR="008829D6" w:rsidRPr="000E67DC" w:rsidRDefault="008829D6" w:rsidP="00E77FA8">
      <w:pPr>
        <w:spacing w:after="0" w:line="240" w:lineRule="auto"/>
        <w:ind w:firstLine="454"/>
        <w:jc w:val="both"/>
        <w:rPr>
          <w:rFonts w:ascii="Times New Roman" w:eastAsia="Book Antiqua" w:hAnsi="Times New Roman" w:cs="Times New Roman"/>
          <w:lang w:val="en-US"/>
        </w:rPr>
      </w:pPr>
      <w:r w:rsidRPr="000E67DC">
        <w:rPr>
          <w:rFonts w:ascii="Times New Roman" w:eastAsia="Book Antiqua" w:hAnsi="Times New Roman" w:cs="Times New Roman"/>
          <w:lang w:val="en-US"/>
        </w:rPr>
        <w:t xml:space="preserve">Hence, the </w:t>
      </w:r>
      <w:r w:rsidR="00FF0296" w:rsidRPr="000E67DC">
        <w:rPr>
          <w:rFonts w:ascii="Times New Roman" w:eastAsia="Book Antiqua" w:hAnsi="Times New Roman" w:cs="Times New Roman"/>
          <w:lang w:val="en-US"/>
        </w:rPr>
        <w:t>evaluation</w:t>
      </w:r>
      <w:r w:rsidRPr="000E67DC">
        <w:rPr>
          <w:rFonts w:ascii="Times New Roman" w:eastAsia="Book Antiqua" w:hAnsi="Times New Roman" w:cs="Times New Roman"/>
          <w:lang w:val="en-US"/>
        </w:rPr>
        <w:t xml:space="preserve"> of </w:t>
      </w:r>
      <w:r w:rsidR="00FF0296" w:rsidRPr="000E67DC">
        <w:rPr>
          <w:rFonts w:ascii="Times New Roman" w:eastAsia="Book Antiqua" w:hAnsi="Times New Roman" w:cs="Times New Roman"/>
          <w:lang w:val="en-US"/>
        </w:rPr>
        <w:t xml:space="preserve">Indonesian </w:t>
      </w:r>
      <w:r w:rsidRPr="000E67DC">
        <w:rPr>
          <w:rFonts w:ascii="Times New Roman" w:eastAsia="Book Antiqua" w:hAnsi="Times New Roman" w:cs="Times New Roman"/>
          <w:lang w:val="en-US"/>
        </w:rPr>
        <w:t>soybean varieties with high yield potential and drought tolerance during the dry season is imperative. This research aims to assess the yield p</w:t>
      </w:r>
      <w:r w:rsidR="00FF0296" w:rsidRPr="000E67DC">
        <w:rPr>
          <w:rFonts w:ascii="Times New Roman" w:eastAsia="Book Antiqua" w:hAnsi="Times New Roman" w:cs="Times New Roman"/>
          <w:lang w:val="en-US"/>
        </w:rPr>
        <w:t>otential</w:t>
      </w:r>
      <w:r w:rsidRPr="000E67DC">
        <w:rPr>
          <w:rFonts w:ascii="Times New Roman" w:eastAsia="Book Antiqua" w:hAnsi="Times New Roman" w:cs="Times New Roman"/>
          <w:lang w:val="en-US"/>
        </w:rPr>
        <w:t xml:space="preserve"> of </w:t>
      </w:r>
      <w:r w:rsidR="00FF0296" w:rsidRPr="000E67DC">
        <w:rPr>
          <w:rFonts w:ascii="Times New Roman" w:eastAsia="Book Antiqua" w:hAnsi="Times New Roman" w:cs="Times New Roman"/>
          <w:lang w:val="en-US"/>
        </w:rPr>
        <w:t xml:space="preserve">Indonesian </w:t>
      </w:r>
      <w:r w:rsidRPr="000E67DC">
        <w:rPr>
          <w:rFonts w:ascii="Times New Roman" w:eastAsia="Book Antiqua" w:hAnsi="Times New Roman" w:cs="Times New Roman"/>
          <w:lang w:val="en-US"/>
        </w:rPr>
        <w:t>soybean varieties under wetland conditions during the dry season</w:t>
      </w:r>
      <w:r w:rsidR="00853C90" w:rsidRPr="000E67DC">
        <w:rPr>
          <w:rFonts w:ascii="Times New Roman" w:eastAsia="Book Antiqua" w:hAnsi="Times New Roman" w:cs="Times New Roman"/>
          <w:lang w:val="en-US"/>
        </w:rPr>
        <w:t xml:space="preserve">, </w:t>
      </w:r>
      <w:r w:rsidR="00D45ABF" w:rsidRPr="000E67DC">
        <w:rPr>
          <w:rFonts w:ascii="Times New Roman" w:eastAsia="Book Antiqua" w:hAnsi="Times New Roman" w:cs="Times New Roman"/>
          <w:lang w:val="en-US"/>
        </w:rPr>
        <w:t>to estimate genetic parameters</w:t>
      </w:r>
      <w:r w:rsidR="00853C90" w:rsidRPr="000E67DC">
        <w:rPr>
          <w:rFonts w:ascii="Times New Roman" w:eastAsia="Book Antiqua" w:hAnsi="Times New Roman" w:cs="Times New Roman"/>
          <w:lang w:val="en-US"/>
        </w:rPr>
        <w:t xml:space="preserve">, and </w:t>
      </w:r>
      <w:r w:rsidR="00347226" w:rsidRPr="000E67DC">
        <w:rPr>
          <w:rFonts w:ascii="Times New Roman" w:eastAsia="Book Antiqua" w:hAnsi="Times New Roman" w:cs="Times New Roman"/>
          <w:lang w:val="en-US"/>
        </w:rPr>
        <w:t xml:space="preserve">to </w:t>
      </w:r>
      <w:r w:rsidR="007A61D9" w:rsidRPr="000E67DC">
        <w:rPr>
          <w:rFonts w:ascii="Times New Roman" w:eastAsia="Book Antiqua" w:hAnsi="Times New Roman" w:cs="Times New Roman"/>
          <w:lang w:val="en-US"/>
        </w:rPr>
        <w:t>determinine the relationship among traits. Understanding these genetic factors and trait correlations allows breeders to develop varieties that are high-yielding and resilient to water stress. This study also provides valuable insights into the genetic variability within the soybean population, essential for designing effective breeding strategies.</w:t>
      </w:r>
      <w:r w:rsidR="00E77FA8">
        <w:rPr>
          <w:rFonts w:ascii="Times New Roman" w:eastAsia="Book Antiqua" w:hAnsi="Times New Roman" w:cs="Times New Roman"/>
          <w:lang w:val="en-US"/>
        </w:rPr>
        <w:t xml:space="preserve"> </w:t>
      </w:r>
      <w:r w:rsidR="00E77FA8" w:rsidRPr="000E67DC">
        <w:rPr>
          <w:rFonts w:ascii="Times New Roman" w:eastAsia="Book Antiqua" w:hAnsi="Times New Roman" w:cs="Times New Roman"/>
          <w:lang w:val="en-US"/>
        </w:rPr>
        <w:t>This research was conducted at the Ciparanje Experimental Field, Faculty of Agriculture, Universitas Padjadjaran, during the April 2023 - June 2023 planting season. The experimental design used was a Randomized Complete Block Design (RCBD) with 20 treatments (representing 20 genotypes) and three replications. The soybean genotypes were planted on former wetland, with plot dimensions of 1.2 x 5 meters and a planting distance of 40 x 15 cm. In each row of a plot, there were 33 planting holes, so a three-row plot consisted of 99 planting holes. The total number of experimental plots was 60, representing 20</w:t>
      </w:r>
      <w:r w:rsidR="00E77FA8">
        <w:rPr>
          <w:rFonts w:ascii="Times New Roman" w:eastAsia="Book Antiqua" w:hAnsi="Times New Roman" w:cs="Times New Roman"/>
          <w:lang w:val="en-US"/>
        </w:rPr>
        <w:t xml:space="preserve"> </w:t>
      </w:r>
      <w:r w:rsidR="00E77FA8" w:rsidRPr="000E67DC">
        <w:rPr>
          <w:rFonts w:ascii="Times New Roman" w:eastAsia="Book Antiqua" w:hAnsi="Times New Roman" w:cs="Times New Roman"/>
          <w:lang w:val="en-US"/>
        </w:rPr>
        <w:t>genotypes in three replications. The number of samples taken for observation was five plants from each treatment in each replication.</w:t>
      </w:r>
    </w:p>
    <w:p w14:paraId="5272B65A" w14:textId="77777777" w:rsidR="0090018E" w:rsidRPr="000E67DC" w:rsidRDefault="0090018E">
      <w:pPr>
        <w:spacing w:after="0" w:line="240" w:lineRule="auto"/>
        <w:jc w:val="both"/>
        <w:rPr>
          <w:rFonts w:ascii="Times New Roman" w:eastAsia="Book Antiqua" w:hAnsi="Times New Roman" w:cs="Times New Roman"/>
          <w:sz w:val="20"/>
          <w:szCs w:val="20"/>
        </w:rPr>
      </w:pPr>
    </w:p>
    <w:p w14:paraId="1344592D" w14:textId="2D126E67" w:rsidR="0090018E" w:rsidRPr="000E67DC" w:rsidRDefault="000E67DC" w:rsidP="00A01D1A">
      <w:pPr>
        <w:spacing w:after="0" w:line="240" w:lineRule="auto"/>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t>MATERIALS AND METHODS</w:t>
      </w:r>
    </w:p>
    <w:p w14:paraId="73659D01" w14:textId="0E31A583" w:rsidR="001A19FE" w:rsidRPr="000E67DC" w:rsidRDefault="001A19FE" w:rsidP="000E67DC">
      <w:pPr>
        <w:spacing w:after="0" w:line="240" w:lineRule="auto"/>
        <w:ind w:firstLine="454"/>
        <w:jc w:val="both"/>
        <w:rPr>
          <w:rFonts w:ascii="Times New Roman" w:eastAsia="Book Antiqua" w:hAnsi="Times New Roman" w:cs="Times New Roman"/>
        </w:rPr>
      </w:pPr>
      <w:r w:rsidRPr="000E67DC">
        <w:rPr>
          <w:rFonts w:ascii="Times New Roman" w:eastAsia="Book Antiqua" w:hAnsi="Times New Roman" w:cs="Times New Roman"/>
        </w:rPr>
        <w:t xml:space="preserve">The planting materials used in this study consisted of 20 soybean </w:t>
      </w:r>
      <w:r w:rsidR="00E91B4C" w:rsidRPr="000E67DC">
        <w:rPr>
          <w:rFonts w:ascii="Times New Roman" w:eastAsia="Book Antiqua" w:hAnsi="Times New Roman" w:cs="Times New Roman"/>
        </w:rPr>
        <w:t>genotypes</w:t>
      </w:r>
      <w:r w:rsidRPr="000E67DC">
        <w:rPr>
          <w:rFonts w:ascii="Times New Roman" w:eastAsia="Book Antiqua" w:hAnsi="Times New Roman" w:cs="Times New Roman"/>
        </w:rPr>
        <w:t xml:space="preserve">, including </w:t>
      </w:r>
      <w:r w:rsidR="00E91B4C" w:rsidRPr="000E67DC">
        <w:rPr>
          <w:rFonts w:ascii="Times New Roman" w:eastAsia="Book Antiqua" w:hAnsi="Times New Roman" w:cs="Times New Roman"/>
        </w:rPr>
        <w:t xml:space="preserve">registered </w:t>
      </w:r>
      <w:r w:rsidRPr="000E67DC">
        <w:rPr>
          <w:rFonts w:ascii="Times New Roman" w:eastAsia="Book Antiqua" w:hAnsi="Times New Roman" w:cs="Times New Roman"/>
        </w:rPr>
        <w:t xml:space="preserve">16 yellow soybean </w:t>
      </w:r>
      <w:r w:rsidR="00E91B4C" w:rsidRPr="000E67DC">
        <w:rPr>
          <w:rFonts w:ascii="Times New Roman" w:eastAsia="Book Antiqua" w:hAnsi="Times New Roman" w:cs="Times New Roman"/>
        </w:rPr>
        <w:t>varieties</w:t>
      </w:r>
      <w:r w:rsidRPr="000E67DC">
        <w:rPr>
          <w:rFonts w:ascii="Times New Roman" w:eastAsia="Book Antiqua" w:hAnsi="Times New Roman" w:cs="Times New Roman"/>
        </w:rPr>
        <w:t xml:space="preserve"> and four black soybean </w:t>
      </w:r>
      <w:r w:rsidR="00E91B4C" w:rsidRPr="000E67DC">
        <w:rPr>
          <w:rFonts w:ascii="Times New Roman" w:eastAsia="Book Antiqua" w:hAnsi="Times New Roman" w:cs="Times New Roman"/>
        </w:rPr>
        <w:t>genotypes</w:t>
      </w:r>
      <w:r w:rsidRPr="000E67DC">
        <w:rPr>
          <w:rFonts w:ascii="Times New Roman" w:eastAsia="Book Antiqua" w:hAnsi="Times New Roman" w:cs="Times New Roman"/>
        </w:rPr>
        <w:t>, which are crossbre</w:t>
      </w:r>
      <w:r w:rsidR="007638D5" w:rsidRPr="000E67DC">
        <w:rPr>
          <w:rFonts w:ascii="Times New Roman" w:eastAsia="Book Antiqua" w:hAnsi="Times New Roman" w:cs="Times New Roman"/>
        </w:rPr>
        <w:t>e</w:t>
      </w:r>
      <w:r w:rsidRPr="000E67DC">
        <w:rPr>
          <w:rFonts w:ascii="Times New Roman" w:eastAsia="Book Antiqua" w:hAnsi="Times New Roman" w:cs="Times New Roman"/>
        </w:rPr>
        <w:t xml:space="preserve">d lines from the Plant Breeding Laboratory, </w:t>
      </w:r>
      <w:r w:rsidR="00E91B4C" w:rsidRPr="000E67DC">
        <w:rPr>
          <w:rFonts w:ascii="Times New Roman" w:eastAsia="Book Antiqua" w:hAnsi="Times New Roman" w:cs="Times New Roman"/>
        </w:rPr>
        <w:t>Universitas Padjadjaran</w:t>
      </w:r>
      <w:r w:rsidRPr="000E67DC">
        <w:rPr>
          <w:rFonts w:ascii="Times New Roman" w:eastAsia="Book Antiqua" w:hAnsi="Times New Roman" w:cs="Times New Roman"/>
        </w:rPr>
        <w:t xml:space="preserve"> </w:t>
      </w:r>
      <w:r w:rsidR="00E91B4C" w:rsidRPr="000E67DC">
        <w:rPr>
          <w:rFonts w:ascii="Times New Roman" w:eastAsia="Book Antiqua" w:hAnsi="Times New Roman" w:cs="Times New Roman"/>
        </w:rPr>
        <w:t>(</w:t>
      </w:r>
      <w:r w:rsidRPr="000E67DC">
        <w:rPr>
          <w:rFonts w:ascii="Times New Roman" w:eastAsia="Book Antiqua" w:hAnsi="Times New Roman" w:cs="Times New Roman"/>
        </w:rPr>
        <w:t>presented in Table 1</w:t>
      </w:r>
      <w:r w:rsidR="00E91B4C" w:rsidRPr="000E67DC">
        <w:rPr>
          <w:rFonts w:ascii="Times New Roman" w:eastAsia="Book Antiqua" w:hAnsi="Times New Roman" w:cs="Times New Roman"/>
        </w:rPr>
        <w:t>)</w:t>
      </w:r>
      <w:r w:rsidRPr="000E67DC">
        <w:rPr>
          <w:rFonts w:ascii="Times New Roman" w:eastAsia="Book Antiqua" w:hAnsi="Times New Roman" w:cs="Times New Roman"/>
        </w:rPr>
        <w:t>.</w:t>
      </w:r>
    </w:p>
    <w:p w14:paraId="29B11022" w14:textId="77777777" w:rsidR="00FB61E4" w:rsidRPr="000E67DC" w:rsidRDefault="00FB61E4" w:rsidP="000E67DC">
      <w:pPr>
        <w:spacing w:after="0" w:line="240" w:lineRule="auto"/>
        <w:ind w:firstLine="454"/>
        <w:jc w:val="both"/>
        <w:rPr>
          <w:rFonts w:ascii="Times New Roman" w:eastAsia="Book Antiqua" w:hAnsi="Times New Roman" w:cs="Times New Roman"/>
        </w:rPr>
        <w:sectPr w:rsidR="00FB61E4" w:rsidRPr="000E67DC" w:rsidSect="00FF183A">
          <w:type w:val="continuous"/>
          <w:pgSz w:w="11907" w:h="16840"/>
          <w:pgMar w:top="1134" w:right="1134" w:bottom="1134" w:left="1418" w:header="907" w:footer="907" w:gutter="0"/>
          <w:cols w:space="288"/>
        </w:sectPr>
      </w:pPr>
    </w:p>
    <w:p w14:paraId="260AB651" w14:textId="77777777" w:rsidR="001A19FE" w:rsidRPr="000E67DC" w:rsidRDefault="001A19FE" w:rsidP="000E67DC">
      <w:pPr>
        <w:spacing w:after="0" w:line="240" w:lineRule="auto"/>
        <w:ind w:firstLine="454"/>
        <w:jc w:val="both"/>
        <w:rPr>
          <w:rFonts w:ascii="Times New Roman" w:eastAsia="Book Antiqua" w:hAnsi="Times New Roman" w:cs="Times New Roman"/>
        </w:rPr>
      </w:pPr>
    </w:p>
    <w:p w14:paraId="759FEB47" w14:textId="77777777" w:rsidR="00FF183A" w:rsidRDefault="00FF183A" w:rsidP="005C41E0">
      <w:pPr>
        <w:spacing w:after="0" w:line="240" w:lineRule="auto"/>
        <w:ind w:left="450"/>
        <w:rPr>
          <w:rFonts w:ascii="Times New Roman" w:hAnsi="Times New Roman" w:cs="Times New Roman"/>
          <w:b/>
          <w:sz w:val="20"/>
          <w:szCs w:val="20"/>
        </w:rPr>
        <w:sectPr w:rsidR="00FF183A" w:rsidSect="00FF183A">
          <w:type w:val="continuous"/>
          <w:pgSz w:w="11907" w:h="16840"/>
          <w:pgMar w:top="1134" w:right="1134" w:bottom="1134" w:left="1418" w:header="907" w:footer="907" w:gutter="0"/>
          <w:cols w:space="720"/>
        </w:sectPr>
      </w:pPr>
    </w:p>
    <w:p w14:paraId="19230E32" w14:textId="3178947D" w:rsidR="001A19FE" w:rsidRPr="005C41E0" w:rsidRDefault="001A19FE" w:rsidP="005C41E0">
      <w:pPr>
        <w:spacing w:after="0" w:line="240" w:lineRule="auto"/>
        <w:ind w:left="450"/>
        <w:rPr>
          <w:rFonts w:ascii="Times New Roman" w:hAnsi="Times New Roman" w:cs="Times New Roman"/>
          <w:bCs/>
          <w:sz w:val="20"/>
          <w:szCs w:val="20"/>
        </w:rPr>
      </w:pPr>
      <w:r w:rsidRPr="00A66F74">
        <w:rPr>
          <w:rFonts w:ascii="Times New Roman" w:hAnsi="Times New Roman" w:cs="Times New Roman"/>
          <w:b/>
          <w:sz w:val="20"/>
          <w:szCs w:val="20"/>
        </w:rPr>
        <w:t>Table 1.</w:t>
      </w:r>
      <w:r w:rsidRPr="005C41E0">
        <w:rPr>
          <w:rFonts w:ascii="Times New Roman" w:hAnsi="Times New Roman" w:cs="Times New Roman"/>
          <w:bCs/>
          <w:sz w:val="20"/>
          <w:szCs w:val="20"/>
        </w:rPr>
        <w:t xml:space="preserve"> List of 20 Indonesian Soybean </w:t>
      </w:r>
      <w:r w:rsidR="00E91B4C" w:rsidRPr="005C41E0">
        <w:rPr>
          <w:rFonts w:ascii="Times New Roman" w:hAnsi="Times New Roman" w:cs="Times New Roman"/>
          <w:bCs/>
          <w:sz w:val="20"/>
          <w:szCs w:val="20"/>
        </w:rPr>
        <w:t>Genotypes</w:t>
      </w:r>
    </w:p>
    <w:tbl>
      <w:tblPr>
        <w:tblW w:w="5000" w:type="pct"/>
        <w:jc w:val="center"/>
        <w:tblLook w:val="04A0" w:firstRow="1" w:lastRow="0" w:firstColumn="1" w:lastColumn="0" w:noHBand="0" w:noVBand="1"/>
      </w:tblPr>
      <w:tblGrid>
        <w:gridCol w:w="1569"/>
        <w:gridCol w:w="6010"/>
        <w:gridCol w:w="1776"/>
      </w:tblGrid>
      <w:tr w:rsidR="001A19FE" w:rsidRPr="005C41E0" w14:paraId="77D61726" w14:textId="77777777" w:rsidTr="006B6131">
        <w:trPr>
          <w:trHeight w:val="288"/>
          <w:jc w:val="center"/>
        </w:trPr>
        <w:tc>
          <w:tcPr>
            <w:tcW w:w="839" w:type="pct"/>
            <w:tcBorders>
              <w:top w:val="single" w:sz="4" w:space="0" w:color="auto"/>
              <w:left w:val="nil"/>
              <w:bottom w:val="single" w:sz="4" w:space="0" w:color="auto"/>
              <w:right w:val="nil"/>
            </w:tcBorders>
            <w:shd w:val="clear" w:color="auto" w:fill="auto"/>
            <w:noWrap/>
            <w:vAlign w:val="center"/>
            <w:hideMark/>
          </w:tcPr>
          <w:p w14:paraId="70E449A9"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Genotype</w:t>
            </w:r>
          </w:p>
        </w:tc>
        <w:tc>
          <w:tcPr>
            <w:tcW w:w="3212" w:type="pct"/>
            <w:tcBorders>
              <w:top w:val="single" w:sz="4" w:space="0" w:color="auto"/>
              <w:left w:val="nil"/>
              <w:bottom w:val="single" w:sz="4" w:space="0" w:color="auto"/>
              <w:right w:val="nil"/>
            </w:tcBorders>
            <w:shd w:val="clear" w:color="auto" w:fill="auto"/>
            <w:noWrap/>
            <w:vAlign w:val="center"/>
            <w:hideMark/>
          </w:tcPr>
          <w:p w14:paraId="00EACCC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Pedigree</w:t>
            </w:r>
          </w:p>
        </w:tc>
        <w:tc>
          <w:tcPr>
            <w:tcW w:w="950" w:type="pct"/>
            <w:tcBorders>
              <w:top w:val="single" w:sz="4" w:space="0" w:color="auto"/>
              <w:left w:val="nil"/>
              <w:bottom w:val="single" w:sz="4" w:space="0" w:color="auto"/>
              <w:right w:val="nil"/>
            </w:tcBorders>
            <w:vAlign w:val="center"/>
          </w:tcPr>
          <w:p w14:paraId="4ABE0BC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Status</w:t>
            </w:r>
          </w:p>
        </w:tc>
      </w:tr>
      <w:tr w:rsidR="001A19FE" w:rsidRPr="005C41E0" w14:paraId="5071F896" w14:textId="77777777" w:rsidTr="006B6131">
        <w:trPr>
          <w:trHeight w:val="288"/>
          <w:jc w:val="center"/>
        </w:trPr>
        <w:tc>
          <w:tcPr>
            <w:tcW w:w="839" w:type="pct"/>
            <w:tcBorders>
              <w:top w:val="nil"/>
              <w:left w:val="nil"/>
              <w:bottom w:val="nil"/>
              <w:right w:val="nil"/>
            </w:tcBorders>
            <w:shd w:val="clear" w:color="auto" w:fill="auto"/>
            <w:vAlign w:val="center"/>
            <w:hideMark/>
          </w:tcPr>
          <w:p w14:paraId="6B42F3E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Argomulyo</w:t>
            </w:r>
          </w:p>
        </w:tc>
        <w:tc>
          <w:tcPr>
            <w:tcW w:w="3212" w:type="pct"/>
            <w:tcBorders>
              <w:top w:val="nil"/>
              <w:left w:val="nil"/>
              <w:bottom w:val="nil"/>
              <w:right w:val="nil"/>
            </w:tcBorders>
            <w:shd w:val="clear" w:color="auto" w:fill="auto"/>
            <w:vAlign w:val="center"/>
            <w:hideMark/>
          </w:tcPr>
          <w:p w14:paraId="0293E2BA"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Introduction of Nakhon Sawan soybeans</w:t>
            </w:r>
          </w:p>
        </w:tc>
        <w:tc>
          <w:tcPr>
            <w:tcW w:w="950" w:type="pct"/>
            <w:tcBorders>
              <w:top w:val="nil"/>
              <w:left w:val="nil"/>
              <w:bottom w:val="nil"/>
              <w:right w:val="nil"/>
            </w:tcBorders>
          </w:tcPr>
          <w:p w14:paraId="7E6DAC25"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(1998)</w:t>
            </w:r>
          </w:p>
        </w:tc>
      </w:tr>
      <w:tr w:rsidR="001A19FE" w:rsidRPr="005C41E0" w14:paraId="312754B1" w14:textId="77777777" w:rsidTr="006B6131">
        <w:trPr>
          <w:trHeight w:val="288"/>
          <w:jc w:val="center"/>
        </w:trPr>
        <w:tc>
          <w:tcPr>
            <w:tcW w:w="839" w:type="pct"/>
            <w:tcBorders>
              <w:top w:val="nil"/>
              <w:left w:val="nil"/>
              <w:bottom w:val="nil"/>
              <w:right w:val="nil"/>
            </w:tcBorders>
            <w:shd w:val="clear" w:color="auto" w:fill="auto"/>
            <w:vAlign w:val="center"/>
            <w:hideMark/>
          </w:tcPr>
          <w:p w14:paraId="3F5A67B0"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Anjasmoro</w:t>
            </w:r>
          </w:p>
        </w:tc>
        <w:tc>
          <w:tcPr>
            <w:tcW w:w="3212" w:type="pct"/>
            <w:tcBorders>
              <w:top w:val="nil"/>
              <w:left w:val="nil"/>
              <w:bottom w:val="nil"/>
              <w:right w:val="nil"/>
            </w:tcBorders>
            <w:shd w:val="clear" w:color="auto" w:fill="auto"/>
            <w:vAlign w:val="center"/>
            <w:hideMark/>
          </w:tcPr>
          <w:p w14:paraId="0A48929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Mass selection of the population of pure lines of MANSURIA</w:t>
            </w:r>
          </w:p>
        </w:tc>
        <w:tc>
          <w:tcPr>
            <w:tcW w:w="950" w:type="pct"/>
            <w:tcBorders>
              <w:top w:val="nil"/>
              <w:left w:val="nil"/>
              <w:bottom w:val="nil"/>
              <w:right w:val="nil"/>
            </w:tcBorders>
          </w:tcPr>
          <w:p w14:paraId="1D2BB765"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(2001)</w:t>
            </w:r>
          </w:p>
        </w:tc>
      </w:tr>
      <w:tr w:rsidR="001A19FE" w:rsidRPr="005C41E0" w14:paraId="0D7D6A26" w14:textId="77777777" w:rsidTr="006B6131">
        <w:trPr>
          <w:trHeight w:val="288"/>
          <w:jc w:val="center"/>
        </w:trPr>
        <w:tc>
          <w:tcPr>
            <w:tcW w:w="839" w:type="pct"/>
            <w:tcBorders>
              <w:top w:val="nil"/>
              <w:left w:val="nil"/>
              <w:bottom w:val="nil"/>
              <w:right w:val="nil"/>
            </w:tcBorders>
            <w:shd w:val="clear" w:color="auto" w:fill="auto"/>
            <w:vAlign w:val="center"/>
            <w:hideMark/>
          </w:tcPr>
          <w:p w14:paraId="4CE8CA3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Biosoy</w:t>
            </w:r>
          </w:p>
        </w:tc>
        <w:tc>
          <w:tcPr>
            <w:tcW w:w="3212" w:type="pct"/>
            <w:tcBorders>
              <w:top w:val="nil"/>
              <w:left w:val="nil"/>
              <w:bottom w:val="nil"/>
              <w:right w:val="nil"/>
            </w:tcBorders>
            <w:shd w:val="clear" w:color="auto" w:fill="auto"/>
            <w:vAlign w:val="center"/>
            <w:hideMark/>
          </w:tcPr>
          <w:p w14:paraId="19A27780"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M-B-2896-1 line selection</w:t>
            </w:r>
          </w:p>
        </w:tc>
        <w:tc>
          <w:tcPr>
            <w:tcW w:w="950" w:type="pct"/>
            <w:tcBorders>
              <w:top w:val="nil"/>
              <w:left w:val="nil"/>
              <w:bottom w:val="nil"/>
              <w:right w:val="nil"/>
            </w:tcBorders>
          </w:tcPr>
          <w:p w14:paraId="08CF22F9"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(2017)</w:t>
            </w:r>
          </w:p>
        </w:tc>
      </w:tr>
      <w:tr w:rsidR="001A19FE" w:rsidRPr="005C41E0" w14:paraId="6A42490A" w14:textId="77777777" w:rsidTr="006B6131">
        <w:trPr>
          <w:trHeight w:val="288"/>
          <w:jc w:val="center"/>
        </w:trPr>
        <w:tc>
          <w:tcPr>
            <w:tcW w:w="839" w:type="pct"/>
            <w:tcBorders>
              <w:top w:val="nil"/>
              <w:left w:val="nil"/>
              <w:bottom w:val="nil"/>
              <w:right w:val="nil"/>
            </w:tcBorders>
            <w:shd w:val="clear" w:color="auto" w:fill="auto"/>
            <w:vAlign w:val="center"/>
            <w:hideMark/>
          </w:tcPr>
          <w:p w14:paraId="1F5DF66B"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Dega 1</w:t>
            </w:r>
          </w:p>
        </w:tc>
        <w:tc>
          <w:tcPr>
            <w:tcW w:w="3212" w:type="pct"/>
            <w:tcBorders>
              <w:top w:val="nil"/>
              <w:left w:val="nil"/>
              <w:bottom w:val="nil"/>
              <w:right w:val="nil"/>
            </w:tcBorders>
            <w:shd w:val="clear" w:color="auto" w:fill="auto"/>
            <w:vAlign w:val="center"/>
            <w:hideMark/>
          </w:tcPr>
          <w:p w14:paraId="72C32CB4"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Single cross between Grobogan x Malabar</w:t>
            </w:r>
          </w:p>
        </w:tc>
        <w:tc>
          <w:tcPr>
            <w:tcW w:w="950" w:type="pct"/>
            <w:tcBorders>
              <w:top w:val="nil"/>
              <w:left w:val="nil"/>
              <w:bottom w:val="nil"/>
              <w:right w:val="nil"/>
            </w:tcBorders>
          </w:tcPr>
          <w:p w14:paraId="4496DA52"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(2016)</w:t>
            </w:r>
          </w:p>
        </w:tc>
      </w:tr>
      <w:tr w:rsidR="001A19FE" w:rsidRPr="005C41E0" w14:paraId="5402A826" w14:textId="77777777" w:rsidTr="006B6131">
        <w:trPr>
          <w:trHeight w:val="288"/>
          <w:jc w:val="center"/>
        </w:trPr>
        <w:tc>
          <w:tcPr>
            <w:tcW w:w="839" w:type="pct"/>
            <w:tcBorders>
              <w:top w:val="nil"/>
              <w:left w:val="nil"/>
              <w:bottom w:val="nil"/>
              <w:right w:val="nil"/>
            </w:tcBorders>
            <w:shd w:val="clear" w:color="auto" w:fill="auto"/>
            <w:vAlign w:val="center"/>
            <w:hideMark/>
          </w:tcPr>
          <w:p w14:paraId="0BF8E8E4"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Deja 1</w:t>
            </w:r>
          </w:p>
        </w:tc>
        <w:tc>
          <w:tcPr>
            <w:tcW w:w="3212" w:type="pct"/>
            <w:tcBorders>
              <w:top w:val="nil"/>
              <w:left w:val="nil"/>
              <w:bottom w:val="nil"/>
              <w:right w:val="nil"/>
            </w:tcBorders>
            <w:shd w:val="clear" w:color="auto" w:fill="auto"/>
            <w:vAlign w:val="center"/>
            <w:hideMark/>
          </w:tcPr>
          <w:p w14:paraId="670B27A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Single cross of the Tanggamus x Anjasmoro variety</w:t>
            </w:r>
          </w:p>
        </w:tc>
        <w:tc>
          <w:tcPr>
            <w:tcW w:w="950" w:type="pct"/>
            <w:tcBorders>
              <w:top w:val="nil"/>
              <w:left w:val="nil"/>
              <w:bottom w:val="nil"/>
              <w:right w:val="nil"/>
            </w:tcBorders>
          </w:tcPr>
          <w:p w14:paraId="31FD0DAE"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(2017)</w:t>
            </w:r>
          </w:p>
        </w:tc>
      </w:tr>
      <w:tr w:rsidR="001A19FE" w:rsidRPr="005C41E0" w14:paraId="0104A8A6" w14:textId="77777777" w:rsidTr="006B6131">
        <w:trPr>
          <w:trHeight w:val="288"/>
          <w:jc w:val="center"/>
        </w:trPr>
        <w:tc>
          <w:tcPr>
            <w:tcW w:w="839" w:type="pct"/>
            <w:tcBorders>
              <w:top w:val="nil"/>
              <w:left w:val="nil"/>
              <w:bottom w:val="nil"/>
              <w:right w:val="nil"/>
            </w:tcBorders>
            <w:shd w:val="clear" w:color="auto" w:fill="auto"/>
            <w:vAlign w:val="center"/>
            <w:hideMark/>
          </w:tcPr>
          <w:p w14:paraId="04F98EC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Deja 2</w:t>
            </w:r>
          </w:p>
        </w:tc>
        <w:tc>
          <w:tcPr>
            <w:tcW w:w="3212" w:type="pct"/>
            <w:tcBorders>
              <w:top w:val="nil"/>
              <w:left w:val="nil"/>
              <w:bottom w:val="nil"/>
              <w:right w:val="nil"/>
            </w:tcBorders>
            <w:shd w:val="clear" w:color="auto" w:fill="auto"/>
            <w:vAlign w:val="center"/>
            <w:hideMark/>
          </w:tcPr>
          <w:p w14:paraId="74E71B04"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single cross of the Sibayak x local variety of central java</w:t>
            </w:r>
          </w:p>
        </w:tc>
        <w:tc>
          <w:tcPr>
            <w:tcW w:w="950" w:type="pct"/>
            <w:tcBorders>
              <w:top w:val="nil"/>
              <w:left w:val="nil"/>
              <w:bottom w:val="nil"/>
              <w:right w:val="nil"/>
            </w:tcBorders>
          </w:tcPr>
          <w:p w14:paraId="6104678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(2017)</w:t>
            </w:r>
          </w:p>
        </w:tc>
      </w:tr>
      <w:tr w:rsidR="001A19FE" w:rsidRPr="005C41E0" w14:paraId="79378916" w14:textId="77777777" w:rsidTr="006B6131">
        <w:trPr>
          <w:trHeight w:val="288"/>
          <w:jc w:val="center"/>
        </w:trPr>
        <w:tc>
          <w:tcPr>
            <w:tcW w:w="839" w:type="pct"/>
            <w:tcBorders>
              <w:top w:val="nil"/>
              <w:left w:val="nil"/>
              <w:bottom w:val="nil"/>
              <w:right w:val="nil"/>
            </w:tcBorders>
            <w:shd w:val="clear" w:color="auto" w:fill="auto"/>
            <w:vAlign w:val="center"/>
            <w:hideMark/>
          </w:tcPr>
          <w:p w14:paraId="2AC68C6C"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Gepak kuning</w:t>
            </w:r>
          </w:p>
        </w:tc>
        <w:tc>
          <w:tcPr>
            <w:tcW w:w="3212" w:type="pct"/>
            <w:tcBorders>
              <w:top w:val="nil"/>
              <w:left w:val="nil"/>
              <w:bottom w:val="nil"/>
              <w:right w:val="nil"/>
            </w:tcBorders>
            <w:shd w:val="clear" w:color="auto" w:fill="auto"/>
            <w:noWrap/>
            <w:vAlign w:val="center"/>
            <w:hideMark/>
          </w:tcPr>
          <w:p w14:paraId="1E05D3D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Selection of local varieties of Gepak Kuning</w:t>
            </w:r>
          </w:p>
        </w:tc>
        <w:tc>
          <w:tcPr>
            <w:tcW w:w="950" w:type="pct"/>
            <w:tcBorders>
              <w:top w:val="nil"/>
              <w:left w:val="nil"/>
              <w:bottom w:val="nil"/>
              <w:right w:val="nil"/>
            </w:tcBorders>
          </w:tcPr>
          <w:p w14:paraId="609CC4D2"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(2008)</w:t>
            </w:r>
          </w:p>
        </w:tc>
      </w:tr>
      <w:tr w:rsidR="001A19FE" w:rsidRPr="005C41E0" w14:paraId="21B779D1" w14:textId="77777777" w:rsidTr="006B6131">
        <w:trPr>
          <w:trHeight w:val="288"/>
          <w:jc w:val="center"/>
        </w:trPr>
        <w:tc>
          <w:tcPr>
            <w:tcW w:w="839" w:type="pct"/>
            <w:tcBorders>
              <w:top w:val="nil"/>
              <w:left w:val="nil"/>
              <w:bottom w:val="nil"/>
              <w:right w:val="nil"/>
            </w:tcBorders>
            <w:shd w:val="clear" w:color="auto" w:fill="auto"/>
            <w:vAlign w:val="center"/>
            <w:hideMark/>
          </w:tcPr>
          <w:p w14:paraId="6292FC96"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Demas 1</w:t>
            </w:r>
          </w:p>
        </w:tc>
        <w:tc>
          <w:tcPr>
            <w:tcW w:w="3212" w:type="pct"/>
            <w:tcBorders>
              <w:top w:val="nil"/>
              <w:left w:val="nil"/>
              <w:bottom w:val="nil"/>
              <w:right w:val="nil"/>
            </w:tcBorders>
            <w:shd w:val="clear" w:color="auto" w:fill="auto"/>
            <w:noWrap/>
            <w:vAlign w:val="center"/>
            <w:hideMark/>
          </w:tcPr>
          <w:p w14:paraId="3BF1006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Mansuria x SJ cross selection</w:t>
            </w:r>
          </w:p>
        </w:tc>
        <w:tc>
          <w:tcPr>
            <w:tcW w:w="950" w:type="pct"/>
            <w:tcBorders>
              <w:top w:val="nil"/>
              <w:left w:val="nil"/>
              <w:bottom w:val="nil"/>
              <w:right w:val="nil"/>
            </w:tcBorders>
          </w:tcPr>
          <w:p w14:paraId="27A9373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(2014)</w:t>
            </w:r>
          </w:p>
        </w:tc>
      </w:tr>
      <w:tr w:rsidR="001A19FE" w:rsidRPr="005C41E0" w14:paraId="4B7842A7" w14:textId="77777777" w:rsidTr="006B6131">
        <w:trPr>
          <w:trHeight w:val="288"/>
          <w:jc w:val="center"/>
        </w:trPr>
        <w:tc>
          <w:tcPr>
            <w:tcW w:w="839" w:type="pct"/>
            <w:tcBorders>
              <w:top w:val="nil"/>
              <w:left w:val="nil"/>
              <w:bottom w:val="nil"/>
              <w:right w:val="nil"/>
            </w:tcBorders>
            <w:shd w:val="clear" w:color="auto" w:fill="auto"/>
            <w:vAlign w:val="center"/>
            <w:hideMark/>
          </w:tcPr>
          <w:p w14:paraId="16C91C0C"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Dena 1</w:t>
            </w:r>
          </w:p>
        </w:tc>
        <w:tc>
          <w:tcPr>
            <w:tcW w:w="3212" w:type="pct"/>
            <w:tcBorders>
              <w:top w:val="nil"/>
              <w:left w:val="nil"/>
              <w:bottom w:val="nil"/>
              <w:right w:val="nil"/>
            </w:tcBorders>
            <w:shd w:val="clear" w:color="auto" w:fill="auto"/>
            <w:noWrap/>
            <w:vAlign w:val="center"/>
            <w:hideMark/>
          </w:tcPr>
          <w:p w14:paraId="3C45B906"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Selection of crosses Agromulyo x IAC 100</w:t>
            </w:r>
          </w:p>
        </w:tc>
        <w:tc>
          <w:tcPr>
            <w:tcW w:w="950" w:type="pct"/>
            <w:tcBorders>
              <w:top w:val="nil"/>
              <w:left w:val="nil"/>
              <w:bottom w:val="nil"/>
              <w:right w:val="nil"/>
            </w:tcBorders>
          </w:tcPr>
          <w:p w14:paraId="59D7EBA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(2014)</w:t>
            </w:r>
          </w:p>
        </w:tc>
      </w:tr>
      <w:tr w:rsidR="001A19FE" w:rsidRPr="005C41E0" w14:paraId="16B0CB55" w14:textId="77777777" w:rsidTr="006B6131">
        <w:trPr>
          <w:trHeight w:val="288"/>
          <w:jc w:val="center"/>
        </w:trPr>
        <w:tc>
          <w:tcPr>
            <w:tcW w:w="839" w:type="pct"/>
            <w:tcBorders>
              <w:top w:val="nil"/>
              <w:left w:val="nil"/>
              <w:bottom w:val="nil"/>
              <w:right w:val="nil"/>
            </w:tcBorders>
            <w:shd w:val="clear" w:color="auto" w:fill="auto"/>
            <w:vAlign w:val="center"/>
            <w:hideMark/>
          </w:tcPr>
          <w:p w14:paraId="5FA1EA7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Dena 2</w:t>
            </w:r>
          </w:p>
        </w:tc>
        <w:tc>
          <w:tcPr>
            <w:tcW w:w="3212" w:type="pct"/>
            <w:tcBorders>
              <w:top w:val="nil"/>
              <w:left w:val="nil"/>
              <w:bottom w:val="nil"/>
              <w:right w:val="nil"/>
            </w:tcBorders>
            <w:shd w:val="clear" w:color="auto" w:fill="auto"/>
            <w:noWrap/>
            <w:vAlign w:val="center"/>
            <w:hideMark/>
          </w:tcPr>
          <w:p w14:paraId="61ACC35A"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IAC 100 x Ijen cross selection</w:t>
            </w:r>
          </w:p>
        </w:tc>
        <w:tc>
          <w:tcPr>
            <w:tcW w:w="950" w:type="pct"/>
            <w:tcBorders>
              <w:top w:val="nil"/>
              <w:left w:val="nil"/>
              <w:bottom w:val="nil"/>
              <w:right w:val="nil"/>
            </w:tcBorders>
          </w:tcPr>
          <w:p w14:paraId="3BCF31A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(2014)</w:t>
            </w:r>
          </w:p>
        </w:tc>
      </w:tr>
      <w:tr w:rsidR="001A19FE" w:rsidRPr="005C41E0" w14:paraId="2BB018B1" w14:textId="77777777" w:rsidTr="006B6131">
        <w:trPr>
          <w:trHeight w:val="288"/>
          <w:jc w:val="center"/>
        </w:trPr>
        <w:tc>
          <w:tcPr>
            <w:tcW w:w="839" w:type="pct"/>
            <w:tcBorders>
              <w:top w:val="nil"/>
              <w:left w:val="nil"/>
              <w:bottom w:val="nil"/>
              <w:right w:val="nil"/>
            </w:tcBorders>
            <w:shd w:val="clear" w:color="auto" w:fill="auto"/>
            <w:vAlign w:val="center"/>
            <w:hideMark/>
          </w:tcPr>
          <w:p w14:paraId="1775326E"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Derap 1</w:t>
            </w:r>
          </w:p>
        </w:tc>
        <w:tc>
          <w:tcPr>
            <w:tcW w:w="3212" w:type="pct"/>
            <w:tcBorders>
              <w:top w:val="nil"/>
              <w:left w:val="nil"/>
              <w:bottom w:val="nil"/>
              <w:right w:val="nil"/>
            </w:tcBorders>
            <w:shd w:val="clear" w:color="auto" w:fill="auto"/>
            <w:noWrap/>
            <w:vAlign w:val="center"/>
            <w:hideMark/>
          </w:tcPr>
          <w:p w14:paraId="061C626F"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G511H x Anjasmoro cross selection</w:t>
            </w:r>
          </w:p>
        </w:tc>
        <w:tc>
          <w:tcPr>
            <w:tcW w:w="950" w:type="pct"/>
            <w:tcBorders>
              <w:top w:val="nil"/>
              <w:left w:val="nil"/>
              <w:bottom w:val="nil"/>
              <w:right w:val="nil"/>
            </w:tcBorders>
          </w:tcPr>
          <w:p w14:paraId="09F8DFD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(2017)</w:t>
            </w:r>
          </w:p>
        </w:tc>
      </w:tr>
      <w:tr w:rsidR="001A19FE" w:rsidRPr="005C41E0" w14:paraId="362CD6B8" w14:textId="77777777" w:rsidTr="006B6131">
        <w:trPr>
          <w:trHeight w:val="288"/>
          <w:jc w:val="center"/>
        </w:trPr>
        <w:tc>
          <w:tcPr>
            <w:tcW w:w="839" w:type="pct"/>
            <w:tcBorders>
              <w:top w:val="nil"/>
              <w:left w:val="nil"/>
              <w:bottom w:val="nil"/>
              <w:right w:val="nil"/>
            </w:tcBorders>
            <w:shd w:val="clear" w:color="auto" w:fill="auto"/>
            <w:vAlign w:val="center"/>
            <w:hideMark/>
          </w:tcPr>
          <w:p w14:paraId="1DB0131F"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Dering 1</w:t>
            </w:r>
          </w:p>
        </w:tc>
        <w:tc>
          <w:tcPr>
            <w:tcW w:w="3212" w:type="pct"/>
            <w:tcBorders>
              <w:top w:val="nil"/>
              <w:left w:val="nil"/>
              <w:bottom w:val="nil"/>
              <w:right w:val="nil"/>
            </w:tcBorders>
            <w:shd w:val="clear" w:color="auto" w:fill="auto"/>
            <w:noWrap/>
            <w:vAlign w:val="center"/>
            <w:hideMark/>
          </w:tcPr>
          <w:p w14:paraId="06DA576B"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Single cross of the superior variety Davros x MLG</w:t>
            </w:r>
          </w:p>
        </w:tc>
        <w:tc>
          <w:tcPr>
            <w:tcW w:w="950" w:type="pct"/>
            <w:tcBorders>
              <w:top w:val="nil"/>
              <w:left w:val="nil"/>
              <w:bottom w:val="nil"/>
              <w:right w:val="nil"/>
            </w:tcBorders>
          </w:tcPr>
          <w:p w14:paraId="01585E7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(2012)</w:t>
            </w:r>
          </w:p>
        </w:tc>
      </w:tr>
      <w:tr w:rsidR="001A19FE" w:rsidRPr="005C41E0" w14:paraId="39D04BC8" w14:textId="77777777" w:rsidTr="006B6131">
        <w:trPr>
          <w:trHeight w:val="288"/>
          <w:jc w:val="center"/>
        </w:trPr>
        <w:tc>
          <w:tcPr>
            <w:tcW w:w="839" w:type="pct"/>
            <w:tcBorders>
              <w:top w:val="nil"/>
              <w:left w:val="nil"/>
              <w:bottom w:val="nil"/>
              <w:right w:val="nil"/>
            </w:tcBorders>
            <w:shd w:val="clear" w:color="auto" w:fill="auto"/>
            <w:vAlign w:val="center"/>
            <w:hideMark/>
          </w:tcPr>
          <w:p w14:paraId="7136225D"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Detap 1</w:t>
            </w:r>
          </w:p>
        </w:tc>
        <w:tc>
          <w:tcPr>
            <w:tcW w:w="3212" w:type="pct"/>
            <w:tcBorders>
              <w:top w:val="nil"/>
              <w:left w:val="nil"/>
              <w:bottom w:val="nil"/>
              <w:right w:val="nil"/>
            </w:tcBorders>
            <w:shd w:val="clear" w:color="auto" w:fill="auto"/>
            <w:noWrap/>
            <w:vAlign w:val="center"/>
            <w:hideMark/>
          </w:tcPr>
          <w:p w14:paraId="44D14711"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G511H x Anjasmoro cross selection</w:t>
            </w:r>
          </w:p>
        </w:tc>
        <w:tc>
          <w:tcPr>
            <w:tcW w:w="950" w:type="pct"/>
            <w:tcBorders>
              <w:top w:val="nil"/>
              <w:left w:val="nil"/>
              <w:bottom w:val="nil"/>
              <w:right w:val="nil"/>
            </w:tcBorders>
          </w:tcPr>
          <w:p w14:paraId="2BA025A1"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(2017)</w:t>
            </w:r>
          </w:p>
        </w:tc>
      </w:tr>
      <w:tr w:rsidR="001A19FE" w:rsidRPr="005C41E0" w14:paraId="3CA88C01" w14:textId="77777777" w:rsidTr="006B6131">
        <w:trPr>
          <w:trHeight w:val="288"/>
          <w:jc w:val="center"/>
        </w:trPr>
        <w:tc>
          <w:tcPr>
            <w:tcW w:w="839" w:type="pct"/>
            <w:tcBorders>
              <w:top w:val="nil"/>
              <w:left w:val="nil"/>
              <w:bottom w:val="nil"/>
              <w:right w:val="nil"/>
            </w:tcBorders>
            <w:shd w:val="clear" w:color="auto" w:fill="auto"/>
            <w:vAlign w:val="center"/>
            <w:hideMark/>
          </w:tcPr>
          <w:p w14:paraId="06F81DA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Devon 1</w:t>
            </w:r>
          </w:p>
        </w:tc>
        <w:tc>
          <w:tcPr>
            <w:tcW w:w="3212" w:type="pct"/>
            <w:tcBorders>
              <w:top w:val="nil"/>
              <w:left w:val="nil"/>
              <w:bottom w:val="nil"/>
              <w:right w:val="nil"/>
            </w:tcBorders>
            <w:shd w:val="clear" w:color="auto" w:fill="auto"/>
            <w:noWrap/>
            <w:vAlign w:val="center"/>
            <w:hideMark/>
          </w:tcPr>
          <w:p w14:paraId="7795B1DB"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Selection of Kawi varieties x IAC 100 strains</w:t>
            </w:r>
          </w:p>
        </w:tc>
        <w:tc>
          <w:tcPr>
            <w:tcW w:w="950" w:type="pct"/>
            <w:tcBorders>
              <w:top w:val="nil"/>
              <w:left w:val="nil"/>
              <w:bottom w:val="nil"/>
              <w:right w:val="nil"/>
            </w:tcBorders>
          </w:tcPr>
          <w:p w14:paraId="44D50EE0"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(2015)</w:t>
            </w:r>
          </w:p>
        </w:tc>
      </w:tr>
      <w:tr w:rsidR="001A19FE" w:rsidRPr="005C41E0" w14:paraId="16BC12BD" w14:textId="77777777" w:rsidTr="006B6131">
        <w:trPr>
          <w:trHeight w:val="288"/>
          <w:jc w:val="center"/>
        </w:trPr>
        <w:tc>
          <w:tcPr>
            <w:tcW w:w="839" w:type="pct"/>
            <w:tcBorders>
              <w:top w:val="nil"/>
              <w:left w:val="nil"/>
              <w:bottom w:val="nil"/>
              <w:right w:val="nil"/>
            </w:tcBorders>
            <w:shd w:val="clear" w:color="auto" w:fill="auto"/>
            <w:vAlign w:val="center"/>
            <w:hideMark/>
          </w:tcPr>
          <w:p w14:paraId="290FDA0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Devon 2</w:t>
            </w:r>
          </w:p>
        </w:tc>
        <w:tc>
          <w:tcPr>
            <w:tcW w:w="3212" w:type="pct"/>
            <w:tcBorders>
              <w:top w:val="nil"/>
              <w:left w:val="nil"/>
              <w:bottom w:val="nil"/>
              <w:right w:val="nil"/>
            </w:tcBorders>
            <w:shd w:val="clear" w:color="auto" w:fill="auto"/>
            <w:vAlign w:val="center"/>
            <w:hideMark/>
          </w:tcPr>
          <w:p w14:paraId="602C2C50"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G511H x Anjasmoro cross selection</w:t>
            </w:r>
          </w:p>
        </w:tc>
        <w:tc>
          <w:tcPr>
            <w:tcW w:w="950" w:type="pct"/>
            <w:tcBorders>
              <w:top w:val="nil"/>
              <w:left w:val="nil"/>
              <w:bottom w:val="nil"/>
              <w:right w:val="nil"/>
            </w:tcBorders>
          </w:tcPr>
          <w:p w14:paraId="19ACD6E0"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(2015)</w:t>
            </w:r>
          </w:p>
        </w:tc>
      </w:tr>
      <w:tr w:rsidR="001A19FE" w:rsidRPr="005C41E0" w14:paraId="0A6AB2E8" w14:textId="77777777" w:rsidTr="006B6131">
        <w:trPr>
          <w:trHeight w:val="288"/>
          <w:jc w:val="center"/>
        </w:trPr>
        <w:tc>
          <w:tcPr>
            <w:tcW w:w="839" w:type="pct"/>
            <w:tcBorders>
              <w:top w:val="nil"/>
              <w:left w:val="nil"/>
              <w:bottom w:val="nil"/>
              <w:right w:val="nil"/>
            </w:tcBorders>
            <w:shd w:val="clear" w:color="auto" w:fill="auto"/>
            <w:vAlign w:val="center"/>
            <w:hideMark/>
          </w:tcPr>
          <w:p w14:paraId="48279B73"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Grobogan</w:t>
            </w:r>
          </w:p>
        </w:tc>
        <w:tc>
          <w:tcPr>
            <w:tcW w:w="3212" w:type="pct"/>
            <w:tcBorders>
              <w:top w:val="nil"/>
              <w:left w:val="nil"/>
              <w:bottom w:val="nil"/>
              <w:right w:val="nil"/>
            </w:tcBorders>
            <w:shd w:val="clear" w:color="auto" w:fill="auto"/>
            <w:noWrap/>
            <w:vAlign w:val="center"/>
            <w:hideMark/>
          </w:tcPr>
          <w:p w14:paraId="32836CDC"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Purification of the local population of Malabar</w:t>
            </w:r>
          </w:p>
        </w:tc>
        <w:tc>
          <w:tcPr>
            <w:tcW w:w="950" w:type="pct"/>
            <w:tcBorders>
              <w:top w:val="nil"/>
              <w:left w:val="nil"/>
              <w:bottom w:val="nil"/>
              <w:right w:val="nil"/>
            </w:tcBorders>
          </w:tcPr>
          <w:p w14:paraId="76F404D7"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Released (2008)</w:t>
            </w:r>
          </w:p>
        </w:tc>
      </w:tr>
      <w:tr w:rsidR="001A19FE" w:rsidRPr="005C41E0" w14:paraId="70B51CDE" w14:textId="77777777" w:rsidTr="006B6131">
        <w:trPr>
          <w:trHeight w:val="288"/>
          <w:jc w:val="center"/>
        </w:trPr>
        <w:tc>
          <w:tcPr>
            <w:tcW w:w="839" w:type="pct"/>
            <w:tcBorders>
              <w:top w:val="nil"/>
              <w:left w:val="nil"/>
              <w:bottom w:val="nil"/>
              <w:right w:val="nil"/>
            </w:tcBorders>
            <w:shd w:val="clear" w:color="auto" w:fill="auto"/>
            <w:vAlign w:val="center"/>
            <w:hideMark/>
          </w:tcPr>
          <w:p w14:paraId="3A5E1911"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79</w:t>
            </w:r>
          </w:p>
        </w:tc>
        <w:tc>
          <w:tcPr>
            <w:tcW w:w="3212" w:type="pct"/>
            <w:tcBorders>
              <w:top w:val="nil"/>
              <w:left w:val="nil"/>
              <w:bottom w:val="nil"/>
              <w:right w:val="nil"/>
            </w:tcBorders>
            <w:shd w:val="clear" w:color="auto" w:fill="auto"/>
            <w:noWrap/>
            <w:vAlign w:val="center"/>
            <w:hideMark/>
          </w:tcPr>
          <w:p w14:paraId="46F47026"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Cross between UP106 x UP 122</w:t>
            </w:r>
          </w:p>
        </w:tc>
        <w:tc>
          <w:tcPr>
            <w:tcW w:w="950" w:type="pct"/>
            <w:tcBorders>
              <w:top w:val="nil"/>
              <w:left w:val="nil"/>
              <w:bottom w:val="nil"/>
              <w:right w:val="nil"/>
            </w:tcBorders>
          </w:tcPr>
          <w:p w14:paraId="2A7F4CE1"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F6</w:t>
            </w:r>
          </w:p>
        </w:tc>
      </w:tr>
      <w:tr w:rsidR="001A19FE" w:rsidRPr="005C41E0" w14:paraId="0E42BF14" w14:textId="77777777" w:rsidTr="006B6131">
        <w:trPr>
          <w:trHeight w:val="288"/>
          <w:jc w:val="center"/>
        </w:trPr>
        <w:tc>
          <w:tcPr>
            <w:tcW w:w="839" w:type="pct"/>
            <w:tcBorders>
              <w:top w:val="nil"/>
              <w:left w:val="nil"/>
              <w:bottom w:val="nil"/>
              <w:right w:val="nil"/>
            </w:tcBorders>
            <w:shd w:val="clear" w:color="auto" w:fill="auto"/>
            <w:vAlign w:val="center"/>
            <w:hideMark/>
          </w:tcPr>
          <w:p w14:paraId="6F215546"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87</w:t>
            </w:r>
          </w:p>
        </w:tc>
        <w:tc>
          <w:tcPr>
            <w:tcW w:w="3212" w:type="pct"/>
            <w:tcBorders>
              <w:top w:val="nil"/>
              <w:left w:val="nil"/>
              <w:bottom w:val="nil"/>
              <w:right w:val="nil"/>
            </w:tcBorders>
            <w:shd w:val="clear" w:color="auto" w:fill="auto"/>
            <w:noWrap/>
            <w:vAlign w:val="center"/>
            <w:hideMark/>
          </w:tcPr>
          <w:p w14:paraId="6CD15C8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Cross between UP106 x UP 122</w:t>
            </w:r>
          </w:p>
        </w:tc>
        <w:tc>
          <w:tcPr>
            <w:tcW w:w="950" w:type="pct"/>
            <w:tcBorders>
              <w:top w:val="nil"/>
              <w:left w:val="nil"/>
              <w:bottom w:val="nil"/>
              <w:right w:val="nil"/>
            </w:tcBorders>
          </w:tcPr>
          <w:p w14:paraId="36D7C23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F6</w:t>
            </w:r>
          </w:p>
        </w:tc>
      </w:tr>
      <w:tr w:rsidR="001A19FE" w:rsidRPr="005C41E0" w14:paraId="0414FC05" w14:textId="77777777" w:rsidTr="006B6131">
        <w:trPr>
          <w:trHeight w:val="288"/>
          <w:jc w:val="center"/>
        </w:trPr>
        <w:tc>
          <w:tcPr>
            <w:tcW w:w="839" w:type="pct"/>
            <w:tcBorders>
              <w:top w:val="nil"/>
              <w:left w:val="nil"/>
              <w:bottom w:val="nil"/>
              <w:right w:val="nil"/>
            </w:tcBorders>
            <w:shd w:val="clear" w:color="auto" w:fill="auto"/>
            <w:vAlign w:val="center"/>
            <w:hideMark/>
          </w:tcPr>
          <w:p w14:paraId="31A928D9"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99</w:t>
            </w:r>
          </w:p>
        </w:tc>
        <w:tc>
          <w:tcPr>
            <w:tcW w:w="3212" w:type="pct"/>
            <w:tcBorders>
              <w:top w:val="nil"/>
              <w:left w:val="nil"/>
              <w:bottom w:val="nil"/>
              <w:right w:val="nil"/>
            </w:tcBorders>
            <w:shd w:val="clear" w:color="auto" w:fill="auto"/>
            <w:noWrap/>
            <w:vAlign w:val="center"/>
            <w:hideMark/>
          </w:tcPr>
          <w:p w14:paraId="4190EAB8"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Cross between UP106 x UP 122</w:t>
            </w:r>
          </w:p>
        </w:tc>
        <w:tc>
          <w:tcPr>
            <w:tcW w:w="950" w:type="pct"/>
            <w:tcBorders>
              <w:top w:val="nil"/>
              <w:left w:val="nil"/>
              <w:bottom w:val="nil"/>
              <w:right w:val="nil"/>
            </w:tcBorders>
          </w:tcPr>
          <w:p w14:paraId="6F895F2C"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F6</w:t>
            </w:r>
          </w:p>
        </w:tc>
      </w:tr>
      <w:tr w:rsidR="001A19FE" w:rsidRPr="005C41E0" w14:paraId="2F6E2796" w14:textId="77777777" w:rsidTr="006B6131">
        <w:trPr>
          <w:trHeight w:val="288"/>
          <w:jc w:val="center"/>
        </w:trPr>
        <w:tc>
          <w:tcPr>
            <w:tcW w:w="839" w:type="pct"/>
            <w:tcBorders>
              <w:top w:val="nil"/>
              <w:left w:val="nil"/>
              <w:bottom w:val="single" w:sz="4" w:space="0" w:color="auto"/>
              <w:right w:val="nil"/>
            </w:tcBorders>
            <w:shd w:val="clear" w:color="auto" w:fill="auto"/>
            <w:vAlign w:val="center"/>
            <w:hideMark/>
          </w:tcPr>
          <w:p w14:paraId="341507FC"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114</w:t>
            </w:r>
          </w:p>
        </w:tc>
        <w:tc>
          <w:tcPr>
            <w:tcW w:w="3212" w:type="pct"/>
            <w:tcBorders>
              <w:top w:val="nil"/>
              <w:left w:val="nil"/>
              <w:bottom w:val="single" w:sz="4" w:space="0" w:color="auto"/>
              <w:right w:val="nil"/>
            </w:tcBorders>
            <w:shd w:val="clear" w:color="auto" w:fill="auto"/>
            <w:noWrap/>
            <w:vAlign w:val="center"/>
            <w:hideMark/>
          </w:tcPr>
          <w:p w14:paraId="25E022EB"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Cross between UP106 x UP 122</w:t>
            </w:r>
          </w:p>
        </w:tc>
        <w:tc>
          <w:tcPr>
            <w:tcW w:w="950" w:type="pct"/>
            <w:tcBorders>
              <w:top w:val="nil"/>
              <w:left w:val="nil"/>
              <w:bottom w:val="single" w:sz="4" w:space="0" w:color="auto"/>
              <w:right w:val="nil"/>
            </w:tcBorders>
          </w:tcPr>
          <w:p w14:paraId="22A85914" w14:textId="77777777" w:rsidR="001A19FE" w:rsidRPr="005C41E0" w:rsidRDefault="001A19FE" w:rsidP="000E67DC">
            <w:pPr>
              <w:spacing w:after="0" w:line="240" w:lineRule="auto"/>
              <w:jc w:val="cente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F6</w:t>
            </w:r>
          </w:p>
        </w:tc>
      </w:tr>
    </w:tbl>
    <w:p w14:paraId="57F9A0C6" w14:textId="77777777" w:rsidR="00307D19" w:rsidRDefault="00307D19" w:rsidP="00DF13FA">
      <w:pPr>
        <w:spacing w:after="0" w:line="240" w:lineRule="auto"/>
        <w:jc w:val="both"/>
        <w:rPr>
          <w:rFonts w:ascii="Times New Roman" w:eastAsia="Book Antiqua" w:hAnsi="Times New Roman" w:cs="Times New Roman"/>
          <w:sz w:val="20"/>
          <w:szCs w:val="20"/>
          <w:lang w:val="en-US"/>
        </w:rPr>
      </w:pPr>
    </w:p>
    <w:p w14:paraId="07458A92" w14:textId="77777777" w:rsidR="00307D19" w:rsidRDefault="00307D19" w:rsidP="000E67DC">
      <w:pPr>
        <w:spacing w:after="0" w:line="240" w:lineRule="auto"/>
        <w:ind w:firstLine="454"/>
        <w:jc w:val="both"/>
        <w:rPr>
          <w:rFonts w:ascii="Times New Roman" w:eastAsia="Book Antiqua" w:hAnsi="Times New Roman" w:cs="Times New Roman"/>
          <w:sz w:val="20"/>
          <w:szCs w:val="20"/>
          <w:lang w:val="en-US"/>
        </w:rPr>
      </w:pPr>
    </w:p>
    <w:p w14:paraId="130B380B" w14:textId="1E99A46C" w:rsidR="00D83748" w:rsidRPr="005C41E0" w:rsidRDefault="00D83748" w:rsidP="000E67DC">
      <w:pPr>
        <w:spacing w:after="0" w:line="240" w:lineRule="auto"/>
        <w:ind w:firstLine="454"/>
        <w:jc w:val="both"/>
        <w:rPr>
          <w:rFonts w:ascii="Times New Roman" w:eastAsia="Book Antiqua" w:hAnsi="Times New Roman" w:cs="Times New Roman"/>
          <w:sz w:val="20"/>
          <w:szCs w:val="20"/>
          <w:lang w:val="en-US"/>
        </w:rPr>
      </w:pPr>
      <w:r w:rsidRPr="00A66F74">
        <w:rPr>
          <w:rFonts w:ascii="Times New Roman" w:eastAsia="Book Antiqua" w:hAnsi="Times New Roman" w:cs="Times New Roman"/>
          <w:b/>
          <w:bCs/>
          <w:sz w:val="20"/>
          <w:szCs w:val="20"/>
          <w:lang w:val="en-US"/>
        </w:rPr>
        <w:t>Table 2.</w:t>
      </w:r>
      <w:r w:rsidRPr="005C41E0">
        <w:rPr>
          <w:rFonts w:ascii="Times New Roman" w:eastAsia="Book Antiqua" w:hAnsi="Times New Roman" w:cs="Times New Roman"/>
          <w:sz w:val="20"/>
          <w:szCs w:val="20"/>
          <w:lang w:val="en-US"/>
        </w:rPr>
        <w:t xml:space="preserve"> Average Climate and Soil Characteristics of the Experimental Environment</w:t>
      </w:r>
    </w:p>
    <w:tbl>
      <w:tblPr>
        <w:tblW w:w="0" w:type="auto"/>
        <w:jc w:val="center"/>
        <w:tblLook w:val="04A0" w:firstRow="1" w:lastRow="0" w:firstColumn="1" w:lastColumn="0" w:noHBand="0" w:noVBand="1"/>
      </w:tblPr>
      <w:tblGrid>
        <w:gridCol w:w="1508"/>
        <w:gridCol w:w="1167"/>
        <w:gridCol w:w="1220"/>
        <w:gridCol w:w="1539"/>
        <w:gridCol w:w="900"/>
        <w:gridCol w:w="1410"/>
        <w:gridCol w:w="711"/>
        <w:gridCol w:w="900"/>
      </w:tblGrid>
      <w:tr w:rsidR="00D83748" w:rsidRPr="005C41E0" w14:paraId="7667D7B2" w14:textId="77777777" w:rsidTr="005D1657">
        <w:trPr>
          <w:trHeight w:val="285"/>
          <w:jc w:val="center"/>
        </w:trPr>
        <w:tc>
          <w:tcPr>
            <w:tcW w:w="0" w:type="auto"/>
            <w:tcBorders>
              <w:top w:val="single" w:sz="4" w:space="0" w:color="auto"/>
              <w:left w:val="nil"/>
              <w:bottom w:val="single" w:sz="4" w:space="0" w:color="auto"/>
              <w:right w:val="nil"/>
            </w:tcBorders>
            <w:vAlign w:val="center"/>
          </w:tcPr>
          <w:p w14:paraId="3071B0B0"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Temperature (°C)</w:t>
            </w:r>
          </w:p>
        </w:tc>
        <w:tc>
          <w:tcPr>
            <w:tcW w:w="0" w:type="auto"/>
            <w:tcBorders>
              <w:top w:val="single" w:sz="4" w:space="0" w:color="auto"/>
              <w:left w:val="nil"/>
              <w:bottom w:val="single" w:sz="4" w:space="0" w:color="auto"/>
              <w:right w:val="nil"/>
            </w:tcBorders>
            <w:vAlign w:val="center"/>
          </w:tcPr>
          <w:p w14:paraId="149411FD"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Rain fall (mm)</w:t>
            </w:r>
          </w:p>
        </w:tc>
        <w:tc>
          <w:tcPr>
            <w:tcW w:w="0" w:type="auto"/>
            <w:tcBorders>
              <w:top w:val="single" w:sz="4" w:space="0" w:color="auto"/>
              <w:left w:val="nil"/>
              <w:bottom w:val="single" w:sz="4" w:space="0" w:color="auto"/>
              <w:right w:val="nil"/>
            </w:tcBorders>
            <w:vAlign w:val="center"/>
          </w:tcPr>
          <w:p w14:paraId="0F82E207"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Humidity (%)</w:t>
            </w:r>
          </w:p>
        </w:tc>
        <w:tc>
          <w:tcPr>
            <w:tcW w:w="0" w:type="auto"/>
            <w:tcBorders>
              <w:top w:val="single" w:sz="4" w:space="0" w:color="auto"/>
              <w:left w:val="nil"/>
              <w:bottom w:val="single" w:sz="4" w:space="0" w:color="auto"/>
              <w:right w:val="nil"/>
            </w:tcBorders>
            <w:shd w:val="clear" w:color="auto" w:fill="auto"/>
            <w:noWrap/>
            <w:vAlign w:val="center"/>
            <w:hideMark/>
          </w:tcPr>
          <w:p w14:paraId="2B25F0D6"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Texture of soil</w:t>
            </w:r>
          </w:p>
        </w:tc>
        <w:tc>
          <w:tcPr>
            <w:tcW w:w="0" w:type="auto"/>
            <w:tcBorders>
              <w:top w:val="single" w:sz="4" w:space="0" w:color="auto"/>
              <w:left w:val="nil"/>
              <w:bottom w:val="single" w:sz="4" w:space="0" w:color="auto"/>
              <w:right w:val="nil"/>
            </w:tcBorders>
            <w:shd w:val="clear" w:color="auto" w:fill="auto"/>
            <w:noWrap/>
            <w:vAlign w:val="center"/>
            <w:hideMark/>
          </w:tcPr>
          <w:p w14:paraId="69950C1B"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pH H2O</w:t>
            </w:r>
          </w:p>
        </w:tc>
        <w:tc>
          <w:tcPr>
            <w:tcW w:w="0" w:type="auto"/>
            <w:tcBorders>
              <w:top w:val="single" w:sz="4" w:space="0" w:color="auto"/>
              <w:left w:val="nil"/>
              <w:bottom w:val="single" w:sz="4" w:space="0" w:color="auto"/>
              <w:right w:val="nil"/>
            </w:tcBorders>
            <w:shd w:val="clear" w:color="auto" w:fill="auto"/>
            <w:noWrap/>
            <w:vAlign w:val="center"/>
            <w:hideMark/>
          </w:tcPr>
          <w:p w14:paraId="15FE5F82"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C-Organic (%)</w:t>
            </w:r>
          </w:p>
        </w:tc>
        <w:tc>
          <w:tcPr>
            <w:tcW w:w="0" w:type="auto"/>
            <w:tcBorders>
              <w:top w:val="single" w:sz="4" w:space="0" w:color="auto"/>
              <w:left w:val="nil"/>
              <w:bottom w:val="single" w:sz="4" w:space="0" w:color="auto"/>
              <w:right w:val="nil"/>
            </w:tcBorders>
            <w:shd w:val="clear" w:color="auto" w:fill="auto"/>
            <w:noWrap/>
            <w:vAlign w:val="center"/>
            <w:hideMark/>
          </w:tcPr>
          <w:p w14:paraId="5AA2CB67"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N (%)</w:t>
            </w:r>
          </w:p>
        </w:tc>
        <w:tc>
          <w:tcPr>
            <w:tcW w:w="0" w:type="auto"/>
            <w:tcBorders>
              <w:top w:val="single" w:sz="4" w:space="0" w:color="auto"/>
              <w:left w:val="nil"/>
              <w:bottom w:val="single" w:sz="4" w:space="0" w:color="auto"/>
              <w:right w:val="nil"/>
            </w:tcBorders>
            <w:shd w:val="clear" w:color="auto" w:fill="auto"/>
            <w:noWrap/>
            <w:vAlign w:val="center"/>
            <w:hideMark/>
          </w:tcPr>
          <w:p w14:paraId="32620BB4"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C/N (%)</w:t>
            </w:r>
          </w:p>
        </w:tc>
      </w:tr>
      <w:tr w:rsidR="00D83748" w:rsidRPr="005C41E0" w14:paraId="002EBEDC" w14:textId="77777777" w:rsidTr="005D1657">
        <w:trPr>
          <w:trHeight w:val="285"/>
          <w:jc w:val="center"/>
        </w:trPr>
        <w:tc>
          <w:tcPr>
            <w:tcW w:w="0" w:type="auto"/>
            <w:tcBorders>
              <w:top w:val="nil"/>
              <w:left w:val="nil"/>
              <w:bottom w:val="single" w:sz="4" w:space="0" w:color="auto"/>
              <w:right w:val="nil"/>
            </w:tcBorders>
            <w:vAlign w:val="center"/>
          </w:tcPr>
          <w:p w14:paraId="08CAC9AB"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23,13</w:t>
            </w:r>
          </w:p>
        </w:tc>
        <w:tc>
          <w:tcPr>
            <w:tcW w:w="0" w:type="auto"/>
            <w:tcBorders>
              <w:top w:val="nil"/>
              <w:left w:val="nil"/>
              <w:bottom w:val="single" w:sz="4" w:space="0" w:color="auto"/>
              <w:right w:val="nil"/>
            </w:tcBorders>
            <w:vAlign w:val="center"/>
          </w:tcPr>
          <w:p w14:paraId="66A75E4A" w14:textId="77777777" w:rsidR="00D83748" w:rsidRPr="005C41E0" w:rsidRDefault="00D83748" w:rsidP="000E67DC">
            <w:pPr>
              <w:spacing w:after="0" w:line="240" w:lineRule="auto"/>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52,33</w:t>
            </w:r>
          </w:p>
        </w:tc>
        <w:tc>
          <w:tcPr>
            <w:tcW w:w="0" w:type="auto"/>
            <w:tcBorders>
              <w:top w:val="nil"/>
              <w:left w:val="nil"/>
              <w:bottom w:val="single" w:sz="4" w:space="0" w:color="auto"/>
              <w:right w:val="nil"/>
            </w:tcBorders>
            <w:vAlign w:val="center"/>
          </w:tcPr>
          <w:p w14:paraId="3DD92D6D"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87,66</w:t>
            </w:r>
          </w:p>
        </w:tc>
        <w:tc>
          <w:tcPr>
            <w:tcW w:w="0" w:type="auto"/>
            <w:tcBorders>
              <w:top w:val="nil"/>
              <w:left w:val="nil"/>
              <w:bottom w:val="single" w:sz="4" w:space="0" w:color="auto"/>
              <w:right w:val="nil"/>
            </w:tcBorders>
            <w:shd w:val="clear" w:color="auto" w:fill="auto"/>
            <w:noWrap/>
            <w:vAlign w:val="center"/>
            <w:hideMark/>
          </w:tcPr>
          <w:p w14:paraId="4FB081B1" w14:textId="77777777" w:rsidR="00D83748" w:rsidRPr="005C41E0" w:rsidRDefault="00D83748" w:rsidP="000E67DC">
            <w:pPr>
              <w:spacing w:after="0" w:line="240" w:lineRule="auto"/>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Silty Clay Loam</w:t>
            </w:r>
          </w:p>
        </w:tc>
        <w:tc>
          <w:tcPr>
            <w:tcW w:w="0" w:type="auto"/>
            <w:tcBorders>
              <w:top w:val="nil"/>
              <w:left w:val="nil"/>
              <w:bottom w:val="single" w:sz="4" w:space="0" w:color="auto"/>
              <w:right w:val="nil"/>
            </w:tcBorders>
            <w:shd w:val="clear" w:color="auto" w:fill="auto"/>
            <w:noWrap/>
            <w:vAlign w:val="center"/>
            <w:hideMark/>
          </w:tcPr>
          <w:p w14:paraId="416C4E00"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6,34</w:t>
            </w:r>
          </w:p>
        </w:tc>
        <w:tc>
          <w:tcPr>
            <w:tcW w:w="0" w:type="auto"/>
            <w:tcBorders>
              <w:top w:val="nil"/>
              <w:left w:val="nil"/>
              <w:bottom w:val="single" w:sz="4" w:space="0" w:color="auto"/>
              <w:right w:val="nil"/>
            </w:tcBorders>
            <w:shd w:val="clear" w:color="auto" w:fill="auto"/>
            <w:noWrap/>
            <w:vAlign w:val="center"/>
            <w:hideMark/>
          </w:tcPr>
          <w:p w14:paraId="72F922A6" w14:textId="77777777" w:rsidR="00D83748" w:rsidRPr="005C41E0" w:rsidRDefault="00D83748" w:rsidP="000E67DC">
            <w:pPr>
              <w:spacing w:after="0" w:line="240" w:lineRule="auto"/>
              <w:ind w:firstLine="454"/>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3,32</w:t>
            </w:r>
          </w:p>
        </w:tc>
        <w:tc>
          <w:tcPr>
            <w:tcW w:w="0" w:type="auto"/>
            <w:tcBorders>
              <w:top w:val="nil"/>
              <w:left w:val="nil"/>
              <w:bottom w:val="single" w:sz="4" w:space="0" w:color="auto"/>
              <w:right w:val="nil"/>
            </w:tcBorders>
            <w:shd w:val="clear" w:color="auto" w:fill="auto"/>
            <w:noWrap/>
            <w:vAlign w:val="center"/>
            <w:hideMark/>
          </w:tcPr>
          <w:p w14:paraId="5AB3338A"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0,34</w:t>
            </w:r>
          </w:p>
        </w:tc>
        <w:tc>
          <w:tcPr>
            <w:tcW w:w="0" w:type="auto"/>
            <w:tcBorders>
              <w:top w:val="nil"/>
              <w:left w:val="nil"/>
              <w:bottom w:val="single" w:sz="4" w:space="0" w:color="auto"/>
              <w:right w:val="nil"/>
            </w:tcBorders>
            <w:shd w:val="clear" w:color="auto" w:fill="auto"/>
            <w:noWrap/>
            <w:vAlign w:val="center"/>
            <w:hideMark/>
          </w:tcPr>
          <w:p w14:paraId="27CD0B14" w14:textId="77777777" w:rsidR="00D83748" w:rsidRPr="005C41E0" w:rsidRDefault="00D83748" w:rsidP="000E67DC">
            <w:pPr>
              <w:spacing w:after="0" w:line="240" w:lineRule="auto"/>
              <w:jc w:val="center"/>
              <w:rPr>
                <w:rFonts w:ascii="Times New Roman" w:eastAsia="Book Antiqua" w:hAnsi="Times New Roman" w:cs="Times New Roman"/>
                <w:sz w:val="20"/>
                <w:szCs w:val="20"/>
                <w:lang w:val="en-US"/>
              </w:rPr>
            </w:pPr>
            <w:r w:rsidRPr="005C41E0">
              <w:rPr>
                <w:rFonts w:ascii="Times New Roman" w:eastAsia="Book Antiqua" w:hAnsi="Times New Roman" w:cs="Times New Roman"/>
                <w:sz w:val="20"/>
                <w:szCs w:val="20"/>
                <w:lang w:val="en-US"/>
              </w:rPr>
              <w:t>10</w:t>
            </w:r>
          </w:p>
        </w:tc>
      </w:tr>
    </w:tbl>
    <w:p w14:paraId="78BD3094" w14:textId="273EC0BD" w:rsidR="00850E49" w:rsidRPr="000E67DC" w:rsidRDefault="00850E49" w:rsidP="000E67DC">
      <w:pPr>
        <w:spacing w:after="0" w:line="240" w:lineRule="auto"/>
        <w:ind w:firstLine="454"/>
        <w:jc w:val="both"/>
        <w:rPr>
          <w:rFonts w:ascii="Times New Roman" w:eastAsia="Book Antiqua" w:hAnsi="Times New Roman" w:cs="Times New Roman"/>
          <w:lang w:val="en-US"/>
        </w:rPr>
      </w:pPr>
      <w:r w:rsidRPr="000E67DC">
        <w:rPr>
          <w:rFonts w:ascii="Times New Roman" w:eastAsia="Book Antiqua" w:hAnsi="Times New Roman" w:cs="Times New Roman"/>
          <w:lang w:val="en-US"/>
        </w:rPr>
        <w:lastRenderedPageBreak/>
        <w:t>The observed</w:t>
      </w:r>
      <w:r w:rsidR="00E91B4C" w:rsidRPr="000E67DC">
        <w:rPr>
          <w:rFonts w:ascii="Times New Roman" w:eastAsia="Book Antiqua" w:hAnsi="Times New Roman" w:cs="Times New Roman"/>
          <w:lang w:val="en-US"/>
        </w:rPr>
        <w:t xml:space="preserve"> traits</w:t>
      </w:r>
      <w:r w:rsidRPr="000E67DC">
        <w:rPr>
          <w:rFonts w:ascii="Times New Roman" w:eastAsia="Book Antiqua" w:hAnsi="Times New Roman" w:cs="Times New Roman"/>
          <w:lang w:val="en-US"/>
        </w:rPr>
        <w:t xml:space="preserve"> in this study consisted of nine yield components, including plant height (cm), generative growth phase (R1-R8), </w:t>
      </w:r>
      <w:r w:rsidR="0030098E" w:rsidRPr="000E67DC">
        <w:rPr>
          <w:rFonts w:ascii="Times New Roman" w:eastAsia="Book Antiqua" w:hAnsi="Times New Roman" w:cs="Times New Roman"/>
          <w:lang w:val="en-US"/>
        </w:rPr>
        <w:t>S</w:t>
      </w:r>
      <w:r w:rsidRPr="000E67DC">
        <w:rPr>
          <w:rFonts w:ascii="Times New Roman" w:eastAsia="Book Antiqua" w:hAnsi="Times New Roman" w:cs="Times New Roman"/>
          <w:lang w:val="en-US"/>
        </w:rPr>
        <w:t xml:space="preserve">eed </w:t>
      </w:r>
      <w:r w:rsidR="0030098E" w:rsidRPr="000E67DC">
        <w:rPr>
          <w:rFonts w:ascii="Times New Roman" w:eastAsia="Book Antiqua" w:hAnsi="Times New Roman" w:cs="Times New Roman"/>
          <w:lang w:val="en-US"/>
        </w:rPr>
        <w:t>F</w:t>
      </w:r>
      <w:r w:rsidRPr="000E67DC">
        <w:rPr>
          <w:rFonts w:ascii="Times New Roman" w:eastAsia="Book Antiqua" w:hAnsi="Times New Roman" w:cs="Times New Roman"/>
          <w:lang w:val="en-US"/>
        </w:rPr>
        <w:t xml:space="preserve">illing </w:t>
      </w:r>
      <w:r w:rsidR="0030098E" w:rsidRPr="000E67DC">
        <w:rPr>
          <w:rFonts w:ascii="Times New Roman" w:eastAsia="Book Antiqua" w:hAnsi="Times New Roman" w:cs="Times New Roman"/>
          <w:lang w:val="en-US"/>
        </w:rPr>
        <w:t>P</w:t>
      </w:r>
      <w:r w:rsidRPr="000E67DC">
        <w:rPr>
          <w:rFonts w:ascii="Times New Roman" w:eastAsia="Book Antiqua" w:hAnsi="Times New Roman" w:cs="Times New Roman"/>
          <w:lang w:val="en-US"/>
        </w:rPr>
        <w:t>eriod (SFP), biomass weight (g), number of seeds per plant, seed weight per plant (g), 100-seed weight (g), total weight (g), and potential seed yield (tons/ha). Fertilization was applied when the plants were 14 days after planting (DAP). The fertilizer used was NPK Phonska at a dose of 250 kg/ha or 150 g/plot.</w:t>
      </w:r>
    </w:p>
    <w:p w14:paraId="2B0D9CD5" w14:textId="4E289EB2" w:rsidR="00350F51" w:rsidRPr="000E67DC" w:rsidRDefault="00350F51" w:rsidP="000E67DC">
      <w:pPr>
        <w:spacing w:after="0" w:line="240" w:lineRule="auto"/>
        <w:ind w:firstLine="454"/>
        <w:jc w:val="both"/>
        <w:rPr>
          <w:rFonts w:ascii="Times New Roman" w:eastAsia="Book Antiqua" w:hAnsi="Times New Roman" w:cs="Times New Roman"/>
        </w:rPr>
      </w:pPr>
      <w:r w:rsidRPr="000E67DC">
        <w:rPr>
          <w:rFonts w:ascii="Times New Roman" w:eastAsia="Book Antiqua" w:hAnsi="Times New Roman" w:cs="Times New Roman"/>
        </w:rPr>
        <w:t xml:space="preserve">All the statistical analyses were carried out on the R Studio, R version 4.4.1. </w:t>
      </w:r>
      <w:r w:rsidR="00F3660F" w:rsidRPr="000E67DC">
        <w:rPr>
          <w:rFonts w:ascii="Times New Roman" w:eastAsia="Book Antiqua" w:hAnsi="Times New Roman" w:cs="Times New Roman"/>
        </w:rPr>
        <w:t xml:space="preserve">Data analysis was conducted using Analysis of Variance (ANOVA) of the source of </w:t>
      </w:r>
      <w:r w:rsidR="00E91B4C" w:rsidRPr="000E67DC">
        <w:rPr>
          <w:rFonts w:ascii="Times New Roman" w:eastAsia="Book Antiqua" w:hAnsi="Times New Roman" w:cs="Times New Roman"/>
        </w:rPr>
        <w:t>variation</w:t>
      </w:r>
      <w:r w:rsidR="00F3660F" w:rsidRPr="000E67DC">
        <w:rPr>
          <w:rFonts w:ascii="Times New Roman" w:eastAsia="Book Antiqua" w:hAnsi="Times New Roman" w:cs="Times New Roman"/>
        </w:rPr>
        <w:t>, which was 20 soybean genotypes with three replications</w:t>
      </w:r>
      <w:r w:rsidRPr="000E67DC">
        <w:rPr>
          <w:rFonts w:ascii="Times New Roman" w:eastAsia="Book Antiqua" w:hAnsi="Times New Roman" w:cs="Times New Roman"/>
        </w:rPr>
        <w:t xml:space="preserve">. Estimated variance components and genetic parameters were carried out by using “lme4” package version 1.1-35.5 </w:t>
      </w:r>
      <w:r w:rsidRPr="000E67DC">
        <w:rPr>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{"citationItems":[{"id":"ITEM-1","itemData":{"ISBN":"0000000181723","abstract":"Fit linear and generalized linear mixed-effects models. The models and their components are represented using S4 classes and methods. The core computational algorithms are implemented using the 'Eigen' C++ library for numerical linear algebra and 'RcppEigen' ``glue''. Depends","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dropping-particle":"","family":"Christensen","given":"Rune Haubo Bojesen","non-dropping-particle":"","parse-names":false,"suffix":""},{"dropping-particle":"","family":"Singmann","given":"Henrik","non-dropping-particle":"","parse-names":false,"suffix":""},{"dropping-particle":"","family":"Dai","given":"Bin","non-dropping-particle":"","parse-names":false,"suffix":""},{"dropping-particle":"","family":"Scheipl","given":"Fabian","non-dropping-particle":"","parse-names":false,"suffix":""},{"dropping-particle":"","family":"Grothendieck","given":"Gabor","non-dropping-particle":"","parse-names":false,"suffix":""},{"dropping-particle":"","family":"Green","given":"Peter","non-dropping-particle":"","parse-names":false,"suffix":""},{"dropping-particle":"","family":"Fox","given":"John","non-dropping-particle":"","parse-names":false,"suffix":""},{"dropping-particle":"","family":"Bauer","given":"Alexander","non-dropping-particle":"","parse-names":false,"suffix":""},{"dropping-particle":"","family":"Krivitsky","given":"Pavel N.","non-dropping-particle":"","parse-names":false,"suffix":""},{"dropping-particle":"","family":"Tanaka","given":"Emi","non-dropping-particle":"","parse-names":false,"suffix":""},{"dropping-particle":"","family":"Jagan","given":"Mikael","non-dropping-particle":"","parse-names":false,"suffix":""}],"container-title":"The R Project for Statistical Computing","id":"ITEM-1","issued":{"date-parts":[["2024"]]},"number":"1.1-35.5","page":"50-51","publisher":"CRAN","title":"Linear Mixed-Effects Models using 'Eigen' and S4","type":"article"},"uris":["http://www.mendeley.com/documents/?uuid=11ef1cde-f5fd-4893-845b-bbc9d5a0accf"]}],"mendeley":{"formattedCitation":"(Bates et al., 2024)","plainTextFormattedCitation":"(Bates et al., 2024)","previouslyFormattedCitation":"(Bates et al., 2024)"},"properties":{"noteIndex":0},"schema":"https://github.com/citation-style-language/schema/raw/master/csl-citation.json"}</w:instrText>
      </w:r>
      <w:r w:rsidRPr="000E67DC">
        <w:rPr>
          <w:rFonts w:ascii="Times New Roman" w:eastAsia="Book Antiqua" w:hAnsi="Times New Roman" w:cs="Times New Roman"/>
        </w:rPr>
        <w:fldChar w:fldCharType="separate"/>
      </w:r>
      <w:r w:rsidR="00451B4E" w:rsidRPr="00135DF9">
        <w:rPr>
          <w:rFonts w:ascii="Times New Roman" w:eastAsia="Book Antiqua" w:hAnsi="Times New Roman" w:cs="Times New Roman"/>
          <w:noProof/>
        </w:rPr>
        <w:t>(Bates et al., 2024)</w:t>
      </w:r>
      <w:r w:rsidRPr="000E67DC">
        <w:rPr>
          <w:rFonts w:ascii="Times New Roman" w:eastAsia="Book Antiqua" w:hAnsi="Times New Roman" w:cs="Times New Roman"/>
        </w:rPr>
        <w:fldChar w:fldCharType="end"/>
      </w:r>
      <w:r w:rsidRPr="000E67DC">
        <w:rPr>
          <w:rFonts w:ascii="Times New Roman" w:eastAsia="Book Antiqua" w:hAnsi="Times New Roman" w:cs="Times New Roman"/>
        </w:rPr>
        <w:t xml:space="preserve">. The correlation matrix was performed as network plot, constructed by using “corrr” package version 0.4.4 </w:t>
      </w:r>
      <w:r w:rsidRPr="000E67DC">
        <w:rPr>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author":[{"dropping-particle":"","family":"Kuhn","given":"Max","non-dropping-particle":"","parse-names":false,"suffix":""},{"dropping-particle":"","family":"Jackson","given":"Simon","non-dropping-particle":"","parse-names":false,"suffix":""},{"dropping-particle":"","family":"Cimentada","given":"Jorge","non-dropping-particle":"","parse-names":false,"suffix":""}],"id":"ITEM-1","issued":{"date-parts":[["2022"]]},"number":"0.4.4","publisher":"CRAN","title":"Correlations in R Package ‘ corrr ’","type":"article"},"uris":["http://www.mendeley.com/documents/?uuid=6605defc-d06a-4ceb-870a-432a539aecea"]}],"mendeley":{"formattedCitation":"(Kuhn et al., 2022)","plainTextFormattedCitation":"(Kuhn et al., 2022)","previouslyFormattedCitation":"(Kuhn et al., 2022)"},"properties":{"noteIndex":0},"schema":"https://github.com/citation-style-language/schema/raw/master/csl-citation.json"}</w:instrText>
      </w:r>
      <w:r w:rsidRPr="000E67DC">
        <w:rPr>
          <w:rFonts w:ascii="Times New Roman" w:eastAsia="Book Antiqua" w:hAnsi="Times New Roman" w:cs="Times New Roman"/>
        </w:rPr>
        <w:fldChar w:fldCharType="separate"/>
      </w:r>
      <w:r w:rsidR="00135DF9" w:rsidRPr="00135DF9">
        <w:rPr>
          <w:rFonts w:ascii="Times New Roman" w:eastAsia="Book Antiqua" w:hAnsi="Times New Roman" w:cs="Times New Roman"/>
          <w:noProof/>
        </w:rPr>
        <w:t>(Kuhn et al., 2022)</w:t>
      </w:r>
      <w:r w:rsidRPr="000E67DC">
        <w:rPr>
          <w:rFonts w:ascii="Times New Roman" w:eastAsia="Book Antiqua" w:hAnsi="Times New Roman" w:cs="Times New Roman"/>
        </w:rPr>
        <w:fldChar w:fldCharType="end"/>
      </w:r>
      <w:r w:rsidRPr="000E67DC">
        <w:rPr>
          <w:rFonts w:ascii="Times New Roman" w:eastAsia="Book Antiqua" w:hAnsi="Times New Roman" w:cs="Times New Roman"/>
        </w:rPr>
        <w:t xml:space="preserve">. </w:t>
      </w:r>
    </w:p>
    <w:p w14:paraId="25584DCE" w14:textId="6616F3B2" w:rsidR="00350F51" w:rsidRDefault="00A61830" w:rsidP="000E67DC">
      <w:pPr>
        <w:spacing w:after="0" w:line="240" w:lineRule="auto"/>
        <w:ind w:firstLine="454"/>
        <w:jc w:val="both"/>
        <w:rPr>
          <w:rFonts w:ascii="Times New Roman" w:eastAsia="Merriweather" w:hAnsi="Times New Roman" w:cs="Times New Roman"/>
        </w:rPr>
      </w:pPr>
      <w:r w:rsidRPr="000E67DC">
        <w:rPr>
          <w:rFonts w:ascii="Times New Roman" w:eastAsia="Merriweather" w:hAnsi="Times New Roman" w:cs="Times New Roman"/>
        </w:rPr>
        <w:t xml:space="preserve">The calculating of soybean yield potential based on </w:t>
      </w:r>
      <w:r w:rsidR="007B1E4E" w:rsidRPr="000E67DC">
        <w:rPr>
          <w:rStyle w:val="FootnoteReference"/>
          <w:rFonts w:ascii="Times New Roman" w:eastAsia="Merriweather" w:hAnsi="Times New Roman" w:cs="Times New Roman"/>
        </w:rPr>
        <w:fldChar w:fldCharType="begin" w:fldLock="1"/>
      </w:r>
      <w:r w:rsidR="00451B4E">
        <w:rPr>
          <w:rFonts w:ascii="Times New Roman" w:eastAsia="Merriweather" w:hAnsi="Times New Roman" w:cs="Times New Roman"/>
        </w:rPr>
        <w:instrText>ADDIN CSL_CITATION {"citationItems":[{"id":"ITEM-1","itemData":{"ISBN":"1907-1507","abstract":"We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Ltd.","author":[{"dropping-particle":"","family":"Triyanti","given":"Dyah Riniarsi","non-dropping-particle":"","parse-names":false,"suffix":""}],"container-title":"Pusat Data dan Sistem Informasi Pertanian Sekretariat Jenderal Kementerian Pertanian","id":"ITEM-1","issued":{"date-parts":[["2020"]]},"page":"1-84","title":"Outlook Kedelai 2020","type":"article-journal"},"uris":["http://www.mendeley.com/documents/?uuid=778e1e22-99bb-472f-926d-3717fdc6d8e7"]}],"mendeley":{"formattedCitation":"(Triyanti, 2020)","manualFormatting":"Triyanti (2020)","plainTextFormattedCitation":"(Triyanti, 2020)","previouslyFormattedCitation":"(Triyanti, 2020)"},"properties":{"noteIndex":0},"schema":"https://github.com/citation-style-language/schema/raw/master/csl-citation.json"}</w:instrText>
      </w:r>
      <w:r w:rsidR="007B1E4E" w:rsidRPr="000E67DC">
        <w:rPr>
          <w:rStyle w:val="FootnoteReference"/>
          <w:rFonts w:ascii="Times New Roman" w:eastAsia="Merriweather" w:hAnsi="Times New Roman" w:cs="Times New Roman"/>
        </w:rPr>
        <w:fldChar w:fldCharType="separate"/>
      </w:r>
      <w:r w:rsidR="007B1E4E" w:rsidRPr="000E67DC">
        <w:rPr>
          <w:rFonts w:ascii="Times New Roman" w:eastAsia="Merriweather" w:hAnsi="Times New Roman" w:cs="Times New Roman"/>
          <w:bCs/>
          <w:noProof/>
          <w:lang w:val="en-US"/>
        </w:rPr>
        <w:t xml:space="preserve">Triyanti </w:t>
      </w:r>
      <w:r w:rsidR="007E3AF8" w:rsidRPr="000E67DC">
        <w:rPr>
          <w:rFonts w:ascii="Times New Roman" w:eastAsia="Merriweather" w:hAnsi="Times New Roman" w:cs="Times New Roman"/>
          <w:bCs/>
          <w:noProof/>
          <w:lang w:val="en-US"/>
        </w:rPr>
        <w:t>(</w:t>
      </w:r>
      <w:r w:rsidR="007B1E4E" w:rsidRPr="000E67DC">
        <w:rPr>
          <w:rFonts w:ascii="Times New Roman" w:eastAsia="Merriweather" w:hAnsi="Times New Roman" w:cs="Times New Roman"/>
          <w:bCs/>
          <w:noProof/>
          <w:lang w:val="en-US"/>
        </w:rPr>
        <w:t>2020)</w:t>
      </w:r>
      <w:r w:rsidR="007B1E4E" w:rsidRPr="000E67DC">
        <w:rPr>
          <w:rStyle w:val="FootnoteReference"/>
          <w:rFonts w:ascii="Times New Roman" w:eastAsia="Merriweather" w:hAnsi="Times New Roman" w:cs="Times New Roman"/>
        </w:rPr>
        <w:fldChar w:fldCharType="end"/>
      </w:r>
      <w:r w:rsidRPr="000E67DC">
        <w:rPr>
          <w:rFonts w:ascii="Times New Roman" w:eastAsia="Merriweather" w:hAnsi="Times New Roman" w:cs="Times New Roman"/>
          <w:color w:val="FF0000"/>
        </w:rPr>
        <w:t xml:space="preserve"> </w:t>
      </w:r>
      <w:r w:rsidRPr="000E67DC">
        <w:rPr>
          <w:rFonts w:ascii="Times New Roman" w:eastAsia="Merriweather" w:hAnsi="Times New Roman" w:cs="Times New Roman"/>
        </w:rPr>
        <w:t>can be obtained using the following equation:</w:t>
      </w:r>
    </w:p>
    <w:p w14:paraId="6649837C" w14:textId="77777777" w:rsidR="00307D19" w:rsidRPr="000E67DC" w:rsidRDefault="00307D19" w:rsidP="000E67DC">
      <w:pPr>
        <w:spacing w:after="0" w:line="240" w:lineRule="auto"/>
        <w:ind w:firstLine="454"/>
        <w:jc w:val="both"/>
        <w:rPr>
          <w:rFonts w:ascii="Times New Roman" w:eastAsia="Book Antiqua" w:hAnsi="Times New Roman" w:cs="Times New Roman"/>
        </w:rPr>
      </w:pPr>
    </w:p>
    <w:p w14:paraId="273F3F0B" w14:textId="79A93A2C" w:rsidR="002F61F2" w:rsidRPr="007E6C3D" w:rsidRDefault="00A61830" w:rsidP="007E6C3D">
      <w:pPr>
        <w:spacing w:after="240" w:line="240" w:lineRule="auto"/>
        <w:jc w:val="both"/>
        <w:rPr>
          <w:rFonts w:ascii="Times New Roman" w:eastAsia="Merriweather" w:hAnsi="Times New Roman" w:cs="Times New Roman"/>
        </w:rPr>
        <w:sectPr w:rsidR="002F61F2" w:rsidRPr="007E6C3D" w:rsidSect="00FF183A">
          <w:type w:val="continuous"/>
          <w:pgSz w:w="11907" w:h="16840"/>
          <w:pgMar w:top="1134" w:right="1134" w:bottom="1134" w:left="1418" w:header="907" w:footer="907" w:gutter="0"/>
          <w:cols w:space="288"/>
        </w:sectPr>
      </w:pPr>
      <m:oMath>
        <m:r>
          <w:rPr>
            <w:rFonts w:ascii="Cambria Math" w:eastAsia="Merriweather" w:hAnsi="Cambria Math" w:cs="Times New Roman"/>
            <w:sz w:val="18"/>
            <w:szCs w:val="18"/>
          </w:rPr>
          <m:t xml:space="preserve">Yield </m:t>
        </m:r>
        <m:d>
          <m:dPr>
            <m:ctrlPr>
              <w:rPr>
                <w:rFonts w:ascii="Cambria Math" w:eastAsia="Merriweather" w:hAnsi="Cambria Math" w:cs="Times New Roman"/>
                <w:i/>
                <w:sz w:val="18"/>
                <w:szCs w:val="18"/>
              </w:rPr>
            </m:ctrlPr>
          </m:dPr>
          <m:e>
            <m:sSup>
              <m:sSupPr>
                <m:ctrlPr>
                  <w:rPr>
                    <w:rFonts w:ascii="Cambria Math" w:eastAsia="Merriweather" w:hAnsi="Cambria Math" w:cs="Times New Roman"/>
                    <w:i/>
                    <w:sz w:val="18"/>
                    <w:szCs w:val="18"/>
                  </w:rPr>
                </m:ctrlPr>
              </m:sSupPr>
              <m:e>
                <m:r>
                  <w:rPr>
                    <w:rFonts w:ascii="Cambria Math" w:eastAsia="Merriweather" w:hAnsi="Cambria Math" w:cs="Times New Roman"/>
                    <w:sz w:val="18"/>
                    <w:szCs w:val="18"/>
                  </w:rPr>
                  <m:t>ton ha</m:t>
                </m:r>
              </m:e>
              <m:sup>
                <m:r>
                  <w:rPr>
                    <w:rFonts w:ascii="Cambria Math" w:eastAsia="Merriweather" w:hAnsi="Cambria Math" w:cs="Times New Roman"/>
                    <w:sz w:val="18"/>
                    <w:szCs w:val="18"/>
                  </w:rPr>
                  <m:t>-1</m:t>
                </m:r>
              </m:sup>
            </m:sSup>
          </m:e>
        </m:d>
        <m:r>
          <w:rPr>
            <w:rFonts w:ascii="Cambria Math" w:eastAsia="Merriweather" w:hAnsi="Cambria Math" w:cs="Times New Roman"/>
            <w:sz w:val="18"/>
            <w:szCs w:val="18"/>
          </w:rPr>
          <m:t>=harvested area x productivity</m:t>
        </m:r>
      </m:oMath>
      <w:r w:rsidR="007E6C3D">
        <w:rPr>
          <w:rFonts w:ascii="Times New Roman" w:hAnsi="Times New Roman" w:cs="Times New Roman"/>
          <w:noProof/>
          <w:sz w:val="18"/>
          <w:szCs w:val="18"/>
        </w:rPr>
        <w:t>...</w:t>
      </w:r>
      <w:r w:rsidR="00E77FA8">
        <w:rPr>
          <w:rFonts w:ascii="Times New Roman" w:hAnsi="Times New Roman" w:cs="Times New Roman"/>
          <w:noProof/>
          <w:sz w:val="18"/>
          <w:szCs w:val="18"/>
        </w:rPr>
        <w:t>.............................................................................................................</w:t>
      </w:r>
      <w:r w:rsidR="008D063A">
        <w:rPr>
          <w:rFonts w:ascii="Times New Roman" w:hAnsi="Times New Roman" w:cs="Times New Roman"/>
          <w:noProof/>
        </w:rPr>
        <w:t>(1)</w:t>
      </w:r>
    </w:p>
    <w:p w14:paraId="0E217445" w14:textId="77777777" w:rsidR="00DF13FA" w:rsidRDefault="00DF13FA" w:rsidP="00A01D1A">
      <w:pPr>
        <w:spacing w:after="0" w:line="240" w:lineRule="auto"/>
        <w:rPr>
          <w:rFonts w:ascii="Times New Roman" w:eastAsia="Book Antiqua" w:hAnsi="Times New Roman" w:cs="Times New Roman"/>
          <w:b/>
          <w:sz w:val="24"/>
          <w:szCs w:val="24"/>
        </w:rPr>
      </w:pPr>
    </w:p>
    <w:p w14:paraId="60217EB8" w14:textId="6FFE697B" w:rsidR="0090018E" w:rsidRPr="000E67DC" w:rsidRDefault="000E67DC" w:rsidP="00A01D1A">
      <w:pPr>
        <w:spacing w:after="0" w:line="240" w:lineRule="auto"/>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t>RESULTS AND DISCUSSION</w:t>
      </w:r>
    </w:p>
    <w:p w14:paraId="29FEF08F" w14:textId="77777777" w:rsidR="00307D19" w:rsidRDefault="00307D19" w:rsidP="000E67DC">
      <w:pPr>
        <w:spacing w:after="0" w:line="240" w:lineRule="auto"/>
        <w:ind w:firstLine="720"/>
        <w:jc w:val="both"/>
        <w:rPr>
          <w:rFonts w:ascii="Times New Roman" w:eastAsia="Book Antiqua" w:hAnsi="Times New Roman" w:cs="Times New Roman"/>
        </w:rPr>
        <w:sectPr w:rsidR="00307D19" w:rsidSect="00FF183A">
          <w:type w:val="continuous"/>
          <w:pgSz w:w="11907" w:h="16840"/>
          <w:pgMar w:top="1134" w:right="1134" w:bottom="1134" w:left="1418" w:header="907" w:footer="907" w:gutter="0"/>
          <w:cols w:space="576"/>
        </w:sectPr>
      </w:pPr>
    </w:p>
    <w:p w14:paraId="34050AC1" w14:textId="30B3E72E" w:rsidR="00E77FA8" w:rsidRDefault="00CE10CC" w:rsidP="00E77FA8">
      <w:pPr>
        <w:spacing w:after="0" w:line="240" w:lineRule="auto"/>
        <w:ind w:firstLine="720"/>
        <w:jc w:val="both"/>
        <w:rPr>
          <w:rFonts w:ascii="Times New Roman" w:hAnsi="Times New Roman" w:cs="Times New Roman"/>
          <w:b/>
        </w:rPr>
      </w:pPr>
      <w:r w:rsidRPr="000E67DC">
        <w:rPr>
          <w:rFonts w:ascii="Times New Roman" w:eastAsia="Book Antiqua" w:hAnsi="Times New Roman" w:cs="Times New Roman"/>
        </w:rPr>
        <w:t>The analysis of variance (ANOVA) results for various observed traits are presented in</w:t>
      </w:r>
      <w:r w:rsidR="00FE6D04" w:rsidRPr="000E67DC">
        <w:rPr>
          <w:rFonts w:ascii="Times New Roman" w:eastAsia="Book Antiqua" w:hAnsi="Times New Roman" w:cs="Times New Roman"/>
        </w:rPr>
        <w:t xml:space="preserve"> Table 3. </w:t>
      </w:r>
      <w:r w:rsidR="00E91B4C" w:rsidRPr="000E67DC">
        <w:rPr>
          <w:rFonts w:ascii="Times New Roman" w:eastAsia="Book Antiqua" w:hAnsi="Times New Roman" w:cs="Times New Roman"/>
        </w:rPr>
        <w:t xml:space="preserve">All the </w:t>
      </w:r>
      <w:r w:rsidRPr="000E67DC">
        <w:rPr>
          <w:rFonts w:ascii="Times New Roman" w:eastAsia="Book Antiqua" w:hAnsi="Times New Roman" w:cs="Times New Roman"/>
        </w:rPr>
        <w:t>genotype</w:t>
      </w:r>
      <w:r w:rsidR="00E91B4C" w:rsidRPr="000E67DC">
        <w:rPr>
          <w:rFonts w:ascii="Times New Roman" w:eastAsia="Book Antiqua" w:hAnsi="Times New Roman" w:cs="Times New Roman"/>
        </w:rPr>
        <w:t>s</w:t>
      </w:r>
      <w:r w:rsidRPr="000E67DC">
        <w:rPr>
          <w:rFonts w:ascii="Times New Roman" w:eastAsia="Book Antiqua" w:hAnsi="Times New Roman" w:cs="Times New Roman"/>
        </w:rPr>
        <w:t xml:space="preserve"> </w:t>
      </w:r>
      <w:r w:rsidR="00E91B4C" w:rsidRPr="000E67DC">
        <w:rPr>
          <w:rFonts w:ascii="Times New Roman" w:eastAsia="Book Antiqua" w:hAnsi="Times New Roman" w:cs="Times New Roman"/>
        </w:rPr>
        <w:t>showed</w:t>
      </w:r>
      <w:r w:rsidRPr="000E67DC">
        <w:rPr>
          <w:rFonts w:ascii="Times New Roman" w:eastAsia="Book Antiqua" w:hAnsi="Times New Roman" w:cs="Times New Roman"/>
        </w:rPr>
        <w:t xml:space="preserve"> a significant </w:t>
      </w:r>
      <w:r w:rsidR="00E91B4C" w:rsidRPr="000E67DC">
        <w:rPr>
          <w:rFonts w:ascii="Times New Roman" w:eastAsia="Book Antiqua" w:hAnsi="Times New Roman" w:cs="Times New Roman"/>
        </w:rPr>
        <w:t>variation</w:t>
      </w:r>
      <w:r w:rsidRPr="000E67DC">
        <w:rPr>
          <w:rFonts w:ascii="Times New Roman" w:eastAsia="Book Antiqua" w:hAnsi="Times New Roman" w:cs="Times New Roman"/>
        </w:rPr>
        <w:t xml:space="preserve"> </w:t>
      </w:r>
      <w:r w:rsidR="00BB296E" w:rsidRPr="000E67DC">
        <w:rPr>
          <w:rFonts w:ascii="Times New Roman" w:eastAsia="Book Antiqua" w:hAnsi="Times New Roman" w:cs="Times New Roman"/>
        </w:rPr>
        <w:t xml:space="preserve">in all the traits </w:t>
      </w:r>
      <w:r w:rsidRPr="000E67DC">
        <w:rPr>
          <w:rFonts w:ascii="Times New Roman" w:eastAsia="Book Antiqua" w:hAnsi="Times New Roman" w:cs="Times New Roman"/>
        </w:rPr>
        <w:t xml:space="preserve">at a </w:t>
      </w:r>
      <w:r w:rsidR="005F357E" w:rsidRPr="000E67DC">
        <w:rPr>
          <w:rFonts w:ascii="Times New Roman" w:eastAsia="Book Antiqua" w:hAnsi="Times New Roman" w:cs="Times New Roman"/>
        </w:rPr>
        <w:t>5</w:t>
      </w:r>
      <w:r w:rsidRPr="000E67DC">
        <w:rPr>
          <w:rFonts w:ascii="Times New Roman" w:eastAsia="Book Antiqua" w:hAnsi="Times New Roman" w:cs="Times New Roman"/>
        </w:rPr>
        <w:t>% probability level. This</w:t>
      </w:r>
      <w:r w:rsidR="00BB296E" w:rsidRPr="000E67DC">
        <w:rPr>
          <w:rFonts w:ascii="Times New Roman" w:eastAsia="Book Antiqua" w:hAnsi="Times New Roman" w:cs="Times New Roman"/>
        </w:rPr>
        <w:t xml:space="preserve"> result</w:t>
      </w:r>
      <w:r w:rsidRPr="000E67DC">
        <w:rPr>
          <w:rFonts w:ascii="Times New Roman" w:eastAsia="Book Antiqua" w:hAnsi="Times New Roman" w:cs="Times New Roman"/>
        </w:rPr>
        <w:t xml:space="preserve"> signifies substantial genetic variability among the genotypes </w:t>
      </w:r>
      <w:r w:rsidR="00BB296E" w:rsidRPr="000E67DC">
        <w:rPr>
          <w:rFonts w:ascii="Times New Roman" w:eastAsia="Book Antiqua" w:hAnsi="Times New Roman" w:cs="Times New Roman"/>
        </w:rPr>
        <w:t>based on the observed</w:t>
      </w:r>
      <w:r w:rsidRPr="000E67DC">
        <w:rPr>
          <w:rFonts w:ascii="Times New Roman" w:eastAsia="Book Antiqua" w:hAnsi="Times New Roman" w:cs="Times New Roman"/>
        </w:rPr>
        <w:t xml:space="preserve"> traits. </w:t>
      </w:r>
      <w:r w:rsidR="000329B8" w:rsidRPr="000E67DC">
        <w:rPr>
          <w:rFonts w:ascii="Times New Roman" w:eastAsia="Book Antiqua" w:hAnsi="Times New Roman" w:cs="Times New Roman"/>
        </w:rPr>
        <w:t xml:space="preserve">According to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{"citationItems":[{"id":"ITEM-1","itemData":{"DOI":"10.1038/s41597-021-00834-w","ISSN":"20524463","PMID":"33558550","abstract":"We report characteristics of soybean genetic diversity and structure from the resequencing of 481 diverse soybean accessions, comprising 52 wild (Glycine soja) selections and 429 cultivated (Glycine max) varieties (landraces and elites). This data was used to identify 7.8 million SNPs, to predict SNP effects relative to genic regions, and to identify the genetic structure, relationships, and linkage disequilibrium. We found evidence of distinct, mostly independent selection of lineages by particular geographic location. Among cultivated varieties, we identified numerous highly conserved regions, suggesting selection during domestication. Comparisons of these accessions against the whole U.S. germplasm genotyped with the SoySNP50K iSelect BeadChip revealed that over 95% of the re-sequenced accessions have a high similarity to their SoySNP50K counterparts. Probable errors in seed source or genotype tracking were also identified in approximately 5% of the accessions.","author":[{"dropping-particle":"","family":"Valliyodan","given":"Babu","non-dropping-particle":"","parse-names":false,"suffix":""},{"dropping-particle":"V.","family":"Brown","given":"Anne","non-dropping-particle":"","parse-names":false,"suffix":""},{"dropping-particle":"","family":"Wang","given":"Juexin","non-dropping-particle":"","parse-names":false,"suffix":""},{"dropping-particle":"","family":"Patil","given":"Gunvant","non-dropping-particle":"","parse-names":false,"suffix":""},{"dropping-particle":"","family":"Liu","given":"Yang","non-dropping-particle":"","parse-names":false,"suffix":""},{"dropping-particle":"","family":"Otyama","given":"Paul I.","non-dropping-particle":"","parse-names":false,"suffix":""},{"dropping-particle":"","family":"Nelson","given":"Rex T.","non-dropping-particle":"","parse-names":false,"suffix":""},{"dropping-particle":"","family":"Vuong","given":"Tri","non-dropping-particle":"","parse-names":false,"suffix":""},{"dropping-particle":"","family":"Song","given":"Qijian","non-dropping-particle":"","parse-names":false,"suffix":""},{"dropping-particle":"","family":"Musket","given":"Theresa A.","non-dropping-particle":"","parse-names":false,"suffix":""},{"dropping-particle":"","family":"Wagner","given":"Ruth","non-dropping-particle":"","parse-names":false,"suffix":""},{"dropping-particle":"","family":"Marri","given":"Pradeep","non-dropping-particle":"","parse-names":false,"suffix":""},{"dropping-particle":"","family":"Reddy","given":"Sam","non-dropping-particle":"","parse-names":false,"suffix":""},{"dropping-particle":"","family":"Sessions","given":"Allen","non-dropping-particle":"","parse-names":false,"suffix":""},{"dropping-particle":"","family":"Wu","given":"Xiaolei","non-dropping-particle":"","parse-names":false,"suffix":""},{"dropping-particle":"","family":"Grant","given":"David","non-dropping-particle":"","parse-names":false,"suffix":""},{"dropping-particle":"","family":"Bayer","given":"Philipp E.","non-dropping-particle":"","parse-names":false,"suffix":""},{"dropping-particle":"","family":"Roorkiwal","given":"Manish","non-dropping-particle":"","parse-names":false,"suffix":""},{"dropping-particle":"","family":"Varshney","given":"Rajeev K.","non-dropping-particle":"","parse-names":false,"suffix":""},{"dropping-particle":"","family":"Liu","given":"Xin","non-dropping-particle":"","parse-names":false,"suffix":""},{"dropping-particle":"","family":"Edwards","given":"David","non-dropping-particle":"","parse-names":false,"suffix":""},{"dropping-particle":"","family":"Xu","given":"Dong","non-dropping-particle":"","parse-names":false,"suffix":""},{"dropping-particle":"","family":"Joshi","given":"Trupti","non-dropping-particle":"","parse-names":false,"suffix":""},{"dropping-particle":"","family":"Cannon","given":"Steven B.","non-dropping-particle":"","parse-names":false,"suffix":""},{"dropping-particle":"","family":"Nguyen","given":"Henry T.","non-dropping-particle":"","parse-names":false,"suffix":""}],"container-title":"Scientific Data","id":"ITEM-1","issue":"1","issued":{"date-parts":[["2021"]]},"page":"1-9","publisher":"Springer US","title":"Genetic variation among 481 diverse soybean accessions, inferred from genomic re-sequencing","type":"article-journal","volume":"8"},"uris":["http://www.mendeley.com/documents/?uuid=08625dd0-97e5-4543-97ad-837208b8e88f"]}],"mendeley":{"formattedCitation":"(Valliyodan et al., 2021)","manualFormatting":"Valliyodan et al. (2021)","plainTextFormattedCitation":"(Valliyodan et al., 2021)","previouslyFormattedCitation":"(Valliyodan et al., 2021)"},"properties":{"noteIndex":0},"schema":"https://github.com/citation-style-language/schema/raw/master/csl-citation.json"}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7B1E4E" w:rsidRPr="000E67DC">
        <w:rPr>
          <w:rFonts w:ascii="Times New Roman" w:eastAsia="Book Antiqua" w:hAnsi="Times New Roman" w:cs="Times New Roman"/>
          <w:bCs/>
          <w:noProof/>
          <w:lang w:val="en-US"/>
        </w:rPr>
        <w:t xml:space="preserve">Valliyodan et al. </w:t>
      </w:r>
      <w:r w:rsidR="007E3AF8" w:rsidRPr="000E67DC">
        <w:rPr>
          <w:rFonts w:ascii="Times New Roman" w:eastAsia="Book Antiqua" w:hAnsi="Times New Roman" w:cs="Times New Roman"/>
          <w:bCs/>
          <w:noProof/>
          <w:lang w:val="en-US"/>
        </w:rPr>
        <w:t>(</w:t>
      </w:r>
      <w:r w:rsidR="007B1E4E" w:rsidRPr="000E67DC">
        <w:rPr>
          <w:rFonts w:ascii="Times New Roman" w:eastAsia="Book Antiqua" w:hAnsi="Times New Roman" w:cs="Times New Roman"/>
          <w:bCs/>
          <w:noProof/>
          <w:lang w:val="en-US"/>
        </w:rPr>
        <w:t>2021)</w:t>
      </w:r>
      <w:r w:rsidR="007B1E4E" w:rsidRPr="000E67DC">
        <w:rPr>
          <w:rStyle w:val="FootnoteReference"/>
          <w:rFonts w:ascii="Times New Roman" w:eastAsia="Book Antiqua" w:hAnsi="Times New Roman" w:cs="Times New Roman"/>
        </w:rPr>
        <w:fldChar w:fldCharType="end"/>
      </w:r>
      <w:r w:rsidR="000329B8" w:rsidRPr="000E67DC">
        <w:rPr>
          <w:rFonts w:ascii="Times New Roman" w:eastAsia="Book Antiqua" w:hAnsi="Times New Roman" w:cs="Times New Roman"/>
        </w:rPr>
        <w:t xml:space="preserve">, </w:t>
      </w:r>
      <w:r w:rsidR="00BB296E" w:rsidRPr="000E67DC">
        <w:rPr>
          <w:rFonts w:ascii="Times New Roman" w:eastAsia="Book Antiqua" w:hAnsi="Times New Roman" w:cs="Times New Roman"/>
        </w:rPr>
        <w:t>a phenotypic variation</w:t>
      </w:r>
      <w:r w:rsidR="000329B8" w:rsidRPr="000E67DC">
        <w:rPr>
          <w:rFonts w:ascii="Times New Roman" w:eastAsia="Book Antiqua" w:hAnsi="Times New Roman" w:cs="Times New Roman"/>
        </w:rPr>
        <w:t xml:space="preserve"> </w:t>
      </w:r>
      <w:r w:rsidR="00BB296E" w:rsidRPr="000E67DC">
        <w:rPr>
          <w:rFonts w:ascii="Times New Roman" w:eastAsia="Book Antiqua" w:hAnsi="Times New Roman" w:cs="Times New Roman"/>
        </w:rPr>
        <w:t>is</w:t>
      </w:r>
      <w:r w:rsidR="000329B8" w:rsidRPr="000E67DC">
        <w:rPr>
          <w:rFonts w:ascii="Times New Roman" w:eastAsia="Book Antiqua" w:hAnsi="Times New Roman" w:cs="Times New Roman"/>
        </w:rPr>
        <w:t xml:space="preserve"> caused by differences in genetic structures, relationships, and linkage disequilibrium. </w:t>
      </w:r>
      <w:r w:rsidRPr="000E67DC">
        <w:rPr>
          <w:rFonts w:ascii="Times New Roman" w:eastAsia="Book Antiqua" w:hAnsi="Times New Roman" w:cs="Times New Roman"/>
        </w:rPr>
        <w:t xml:space="preserve">The coefficient of variation (CV%) provides insight into the relative variability of each trait, with </w:t>
      </w:r>
      <w:r w:rsidR="005F357E" w:rsidRPr="000E67DC">
        <w:rPr>
          <w:rFonts w:ascii="Times New Roman" w:eastAsia="Book Antiqua" w:hAnsi="Times New Roman" w:cs="Times New Roman"/>
        </w:rPr>
        <w:t>WSP</w:t>
      </w:r>
      <w:r w:rsidRPr="000E67DC">
        <w:rPr>
          <w:rFonts w:ascii="Times New Roman" w:eastAsia="Book Antiqua" w:hAnsi="Times New Roman" w:cs="Times New Roman"/>
        </w:rPr>
        <w:t xml:space="preserve"> exhibiting the highest CV at </w:t>
      </w:r>
      <w:r w:rsidR="005F357E" w:rsidRPr="000E67DC">
        <w:rPr>
          <w:rFonts w:ascii="Times New Roman" w:eastAsia="Book Antiqua" w:hAnsi="Times New Roman" w:cs="Times New Roman"/>
        </w:rPr>
        <w:t>19</w:t>
      </w:r>
      <w:r w:rsidRPr="000E67DC">
        <w:rPr>
          <w:rFonts w:ascii="Times New Roman" w:eastAsia="Book Antiqua" w:hAnsi="Times New Roman" w:cs="Times New Roman"/>
        </w:rPr>
        <w:t xml:space="preserve">.18%, indicating that </w:t>
      </w:r>
      <w:r w:rsidR="005F357E" w:rsidRPr="000E67DC">
        <w:rPr>
          <w:rFonts w:ascii="Times New Roman" w:hAnsi="Times New Roman" w:cs="Times New Roman"/>
          <w:noProof/>
        </w:rPr>
        <w:t>weight of seed per lant</w:t>
      </w:r>
      <w:r w:rsidR="005F357E" w:rsidRPr="000E67DC">
        <w:rPr>
          <w:rFonts w:ascii="Times New Roman" w:eastAsia="Book Antiqua" w:hAnsi="Times New Roman" w:cs="Times New Roman"/>
        </w:rPr>
        <w:t xml:space="preserve"> </w:t>
      </w:r>
      <w:r w:rsidRPr="000E67DC">
        <w:rPr>
          <w:rFonts w:ascii="Times New Roman" w:eastAsia="Book Antiqua" w:hAnsi="Times New Roman" w:cs="Times New Roman"/>
        </w:rPr>
        <w:t xml:space="preserve">exhibits the greatest degree of variation compared to the other variables. This elevated variability is attributed to suboptimal experimental environmental conditions, which likely disrupted key physiological processes in the plants, thereby affecting potential seed yield </w:t>
      </w:r>
      <w:r w:rsidR="007B1E4E" w:rsidRPr="000E67DC">
        <w:rPr>
          <w:rStyle w:val="FootnoteReference"/>
          <w:rFonts w:ascii="Times New Roman" w:eastAsia="Book Antiqua" w:hAnsi="Times New Roman" w:cs="Times New Roman"/>
        </w:rPr>
        <w:fldChar w:fldCharType="begin" w:fldLock="1"/>
      </w:r>
      <w:r w:rsidR="00135DF9">
        <w:rPr>
          <w:rFonts w:ascii="Times New Roman" w:eastAsia="Book Antiqua" w:hAnsi="Times New Roman" w:cs="Times New Roman"/>
        </w:rPr>
        <w:instrText>ADDIN CSL_CITATION {"citationItems":[{"id":"ITEM-1","itemData":{"DOI":"10.3389/fpls.2021.719706","ISSN":"1664462X","abstract":"The continued improvement of crop yield is a fundamental driver in agriculture and is the goal of both plant breeders and researchers. Plant breeders have been remarkably successful in improving crop yield, as demonstrated by the continued release of varieties with improved yield potential. This has largely been accomplished through performance-based selection, without specific knowledge of the molecular mechanisms underpinning these improvements. Insight into molecular mechanisms has been provided by plant molecular, genetic, and biochemical research through elucidation of the function of genes and pathways that underlie many of the physiological processes that contribute to yield potential. Despite this knowledge, the impact of most genes and pathways on yield components have not been tested in key crops or in a field environment for yield assessment. This gap is difficult to bridge, but field-based physiological knowledge offers a starting point for leveraging molecular targets to successfully apply precision breeding technologies such as genome editing. A better understanding of both the molecular mechanisms underlying crop yield physiology and yield limiting processes under field conditions is essential for elucidating which combinations of favorable alleles are required for yield improvement. Consequently, one goal in plant biology should be to more fully integrate crop physiology, breeding, genetics, and molecular knowledge to identify impactful precision breeding targets for relevant yield traits. The foundation for this is an understanding of yield formation physiology. Here, using soybean as an example, we provide a top-down review of yield physiology, starting with the fact that yield is derived from a population of plants growing together in a community. We review yield and yield-related components to provide a basic overview of yield physiology, synthesizing these concepts to highlight how such knowledge can be leveraged for soybean improvement. Using genome editing as an example, we discuss why multiple disciplines must be brought together to fully realize the promise of precision breeding-based crop improvement.","author":[{"dropping-particle":"","family":"Vogel","given":"Jonathan T.","non-dropping-particle":"","parse-names":false,"suffix":""},{"dropping-particle":"","family":"Liu","given":"Weidong","non-dropping-particle":"","parse-names":false,"suffix":""},{"dropping-particle":"","family":"Olhoft","given":"Paula","non-dropping-particle":"","parse-names":false,"suffix":""},{"dropping-particle":"","family":"Crafts-Brandner","given":"Steven J.","non-dropping-particle":"","parse-names":false,"suffix":""},{"dropping-particle":"","family":"Pennycooke","given":"Joyce C.","non-dropping-particle":"","parse-names":false,"suffix":""},{"dropping-particle":"","family":"Christiansen","given":"Nicole","non-dropping-particle":"","parse-names":false,"suffix":""}],"container-title":"Frontiers in Plant Science","id":"ITEM-1","issue":"November","issued":{"date-parts":[["2021"]]},"page":"1-15","title":"Soybean Yield Formation Physiology – A Foundation for Precision Breeding Based Improvement","type":"article-journal","volume":"12"},"uris":["http://www.mendeley.com/documents/?uuid=e68d0fec-0f9e-40e9-b5e5-ceecf0607d2e"]}],"mendeley":{"formattedCitation":"(Vogel et al., 2021)","plainTextFormattedCitation":"(Vogel et al., 2021)","previouslyFormattedCitation":"(Vogel et al., 2021)"},"properties":{"noteIndex":0},"schema":"https://github.com/citation-style-language/schema/raw/master/csl-citation.json"}</w:instrText>
      </w:r>
      <w:r w:rsidR="007B1E4E" w:rsidRPr="000E67DC">
        <w:rPr>
          <w:rStyle w:val="FootnoteReference"/>
          <w:rFonts w:ascii="Times New Roman" w:eastAsia="Book Antiqua" w:hAnsi="Times New Roman" w:cs="Times New Roman"/>
        </w:rPr>
        <w:fldChar w:fldCharType="separate"/>
      </w:r>
      <w:r w:rsidR="00451B4E" w:rsidRPr="00135DF9">
        <w:rPr>
          <w:rFonts w:ascii="Times New Roman" w:eastAsia="Book Antiqua" w:hAnsi="Times New Roman" w:cs="Times New Roman"/>
          <w:bCs/>
          <w:noProof/>
          <w:lang w:val="en-US"/>
        </w:rPr>
        <w:t>(Vogel et al., 2021)</w:t>
      </w:r>
      <w:r w:rsidR="007B1E4E" w:rsidRPr="000E67DC">
        <w:rPr>
          <w:rStyle w:val="FootnoteReference"/>
          <w:rFonts w:ascii="Times New Roman" w:eastAsia="Book Antiqua" w:hAnsi="Times New Roman" w:cs="Times New Roman"/>
        </w:rPr>
        <w:fldChar w:fldCharType="end"/>
      </w:r>
      <w:r w:rsidR="008C1B03" w:rsidRPr="000E67DC">
        <w:rPr>
          <w:rFonts w:ascii="Times New Roman" w:eastAsia="Book Antiqua" w:hAnsi="Times New Roman" w:cs="Times New Roman"/>
        </w:rPr>
        <w:t xml:space="preserve">. Significant genetic variability was observed among </w:t>
      </w:r>
      <w:r w:rsidR="00BB296E" w:rsidRPr="000E67DC">
        <w:rPr>
          <w:rFonts w:ascii="Times New Roman" w:eastAsia="Book Antiqua" w:hAnsi="Times New Roman" w:cs="Times New Roman"/>
        </w:rPr>
        <w:t xml:space="preserve">the </w:t>
      </w:r>
      <w:r w:rsidR="008C1B03" w:rsidRPr="000E67DC">
        <w:rPr>
          <w:rFonts w:ascii="Times New Roman" w:eastAsia="Book Antiqua" w:hAnsi="Times New Roman" w:cs="Times New Roman"/>
        </w:rPr>
        <w:t xml:space="preserve">genotypes </w:t>
      </w:r>
      <w:r w:rsidR="00BB296E" w:rsidRPr="000E67DC">
        <w:rPr>
          <w:rFonts w:ascii="Times New Roman" w:eastAsia="Book Antiqua" w:hAnsi="Times New Roman" w:cs="Times New Roman"/>
        </w:rPr>
        <w:t xml:space="preserve">based on </w:t>
      </w:r>
      <w:r w:rsidR="008C1B03" w:rsidRPr="000E67DC">
        <w:rPr>
          <w:rFonts w:ascii="Times New Roman" w:eastAsia="Book Antiqua" w:hAnsi="Times New Roman" w:cs="Times New Roman"/>
        </w:rPr>
        <w:t>yield traits and yield components, indicating the impact of genetic differences and non-optimal environmental conditions on yield potential.</w:t>
      </w:r>
      <w:r w:rsidR="005537CB" w:rsidRPr="000E67DC">
        <w:rPr>
          <w:rFonts w:ascii="Times New Roman" w:hAnsi="Times New Roman" w:cs="Times New Roman"/>
          <w:b/>
        </w:rPr>
        <w:t xml:space="preserve"> </w:t>
      </w:r>
    </w:p>
    <w:p w14:paraId="407A58F8" w14:textId="77777777" w:rsidR="00E77FA8" w:rsidRPr="000E67DC" w:rsidRDefault="00E77FA8" w:rsidP="00E77FA8">
      <w:pPr>
        <w:spacing w:after="0" w:line="240" w:lineRule="auto"/>
        <w:ind w:firstLine="720"/>
        <w:jc w:val="both"/>
        <w:rPr>
          <w:rFonts w:ascii="Times New Roman" w:hAnsi="Times New Roman" w:cs="Times New Roman"/>
          <w:b/>
        </w:rPr>
        <w:sectPr w:rsidR="00E77FA8" w:rsidRPr="000E67DC" w:rsidSect="00E77FA8">
          <w:type w:val="continuous"/>
          <w:pgSz w:w="11907" w:h="16840"/>
          <w:pgMar w:top="1134" w:right="1134" w:bottom="1134" w:left="1418" w:header="907" w:footer="907" w:gutter="0"/>
          <w:cols w:space="288"/>
        </w:sectPr>
      </w:pPr>
      <w:r w:rsidRPr="000E67DC">
        <w:rPr>
          <w:rFonts w:ascii="Times New Roman" w:eastAsia="Merriweather" w:hAnsi="Times New Roman" w:cs="Times New Roman"/>
          <w:iCs/>
        </w:rPr>
        <w:t>Results of the Scott-Knott Test on yield components and soybean yield showed in Table 4.  The plant height (PH) of the genotypes shows significant variation across the 20 soybean genotypes tested. The highest plant height is observed in Deja 1 at 47.17 cm followed by Dena 1 at 42.22 cm, indicating</w:t>
      </w:r>
      <w:r w:rsidRPr="00307D19">
        <w:rPr>
          <w:rFonts w:ascii="Times New Roman" w:eastAsia="Merriweather" w:hAnsi="Times New Roman" w:cs="Times New Roman"/>
          <w:iCs/>
        </w:rPr>
        <w:t xml:space="preserve"> </w:t>
      </w:r>
      <w:r w:rsidRPr="000E67DC">
        <w:rPr>
          <w:rFonts w:ascii="Times New Roman" w:eastAsia="Merriweather" w:hAnsi="Times New Roman" w:cs="Times New Roman"/>
          <w:iCs/>
        </w:rPr>
        <w:t>better vertical growth compared to the other genotypes.</w:t>
      </w:r>
      <w:r w:rsidRPr="00307D19">
        <w:rPr>
          <w:rFonts w:ascii="Times New Roman" w:eastAsia="Merriweather" w:hAnsi="Times New Roman" w:cs="Times New Roman"/>
          <w:iCs/>
        </w:rPr>
        <w:t xml:space="preserve"> </w:t>
      </w:r>
      <w:r w:rsidRPr="000E67DC">
        <w:rPr>
          <w:rFonts w:ascii="Times New Roman" w:eastAsia="Merriweather" w:hAnsi="Times New Roman" w:cs="Times New Roman"/>
          <w:iCs/>
        </w:rPr>
        <w:t>In contrast,</w:t>
      </w:r>
      <w:r>
        <w:rPr>
          <w:rFonts w:ascii="Times New Roman" w:eastAsia="Merriweather" w:hAnsi="Times New Roman" w:cs="Times New Roman"/>
          <w:iCs/>
        </w:rPr>
        <w:t xml:space="preserve">  De</w:t>
      </w:r>
      <w:r w:rsidRPr="00DF13FA">
        <w:rPr>
          <w:rFonts w:ascii="Times New Roman" w:eastAsia="Merriweather" w:hAnsi="Times New Roman" w:cs="Times New Roman"/>
          <w:iCs/>
        </w:rPr>
        <w:t xml:space="preserve"> </w:t>
      </w:r>
      <w:r w:rsidRPr="000E67DC">
        <w:rPr>
          <w:rFonts w:ascii="Times New Roman" w:eastAsia="Merriweather" w:hAnsi="Times New Roman" w:cs="Times New Roman"/>
          <w:iCs/>
        </w:rPr>
        <w:t>na 2 exhibits the lowest plant height at 20.17 cm, suggesting limited vegetative growth potential under the tested conditions.</w:t>
      </w:r>
      <w:r>
        <w:rPr>
          <w:rFonts w:ascii="Times New Roman" w:eastAsia="Merriweather" w:hAnsi="Times New Roman" w:cs="Times New Roman"/>
          <w:iCs/>
        </w:rPr>
        <w:t xml:space="preserve"> </w:t>
      </w:r>
      <w:r w:rsidRPr="000E67DC">
        <w:rPr>
          <w:rFonts w:ascii="Times New Roman" w:eastAsia="Merriweather" w:hAnsi="Times New Roman" w:cs="Times New Roman"/>
          <w:iCs/>
        </w:rPr>
        <w:t>The variation in plant height could be attributed to genetic differences or environmental interactions,</w:t>
      </w:r>
      <w:r>
        <w:rPr>
          <w:rFonts w:ascii="Times New Roman" w:eastAsia="Merriweather" w:hAnsi="Times New Roman" w:cs="Times New Roman"/>
          <w:iCs/>
        </w:rPr>
        <w:t xml:space="preserve"> </w:t>
      </w:r>
      <w:r w:rsidRPr="000E67DC">
        <w:rPr>
          <w:rFonts w:ascii="Times New Roman" w:eastAsia="Merriweather" w:hAnsi="Times New Roman" w:cs="Times New Roman"/>
          <w:iCs/>
        </w:rPr>
        <w:t xml:space="preserve">impacting the plant's ability to compete for light and resources </w:t>
      </w:r>
      <w:r w:rsidRPr="000E67DC">
        <w:rPr>
          <w:rStyle w:val="FootnoteReference"/>
          <w:rFonts w:ascii="Times New Roman" w:eastAsia="Merriweather" w:hAnsi="Times New Roman" w:cs="Times New Roman"/>
          <w:iCs/>
        </w:rPr>
        <w:fldChar w:fldCharType="begin" w:fldLock="1"/>
      </w:r>
      <w:r>
        <w:rPr>
          <w:rFonts w:ascii="Times New Roman" w:eastAsia="Merriweather" w:hAnsi="Times New Roman" w:cs="Times New Roman"/>
          <w:iCs/>
        </w:rPr>
        <w:instrText>ADDIN CSL_CITATION {"citationItems":[{"id":"ITEM-1","itemData":{"DOI":"10.1016/j.heliyon.2019.e02614","ISSN":"24058440","abstract":"Microarray expression profile analysis is a useful approach to increase our knowledge about genes involved in regulatory networks and signal transduction pathways related to abiotic stress tolerance. Salt and drought, as two important abiotic stresses, adversely affect plant productivity in the world every year. To understand stress response mechanisms and identify genes and proteins which play critical roles in these mechanisms, the study of individual genes and proteins cannot be considered as an effective approach. On the other hand, the availability of new global data provides us an effective way to shed some light on the central role of molecules involved in stress response mechanisms in the plant. A meta-analysis of salt and drought stress responses was carried out using 38 samples of different experiments from leaves and roots of Arabidopsis plants exposed to drought and salt stresses. We figured out the number of differentially expressed genes (DEGs) was higher in roots under both stresses. Also, we found that the number of common DEGs under both stresses was more in roots and also the number of common DEGs in both tissues under salt stress was more than drought stress. The highest percent of DEGs was related to cell and cell part (about 87%). Around 9% and 7% of DEGs in roots and leaves encoded transcription factors, respectively. Network analysis revealed that three transcription factor families HSF, AP2/ERF and C2H2, may have critical roles in salt and drought stress response mechanisms in Arabidopsis ​and some proteins like STZ may be introduced as a new candidate gene for enhancing salt and drought tolerance in crop plants.","author":[{"dropping-particle":"","family":"Ghorbani","given":"Razieh","non-dropping-particle":"","parse-names":false,"suffix":""},{"dropping-particle":"","family":"Alemzadeh","given":"Abbas","non-dropping-particle":"","parse-names":false,"suffix":""},{"dropping-particle":"","family":"Razi","given":"Hooman","non-dropping-particle":"","parse-names":false,"suffix":""}],"container-title":"Heliyon","id":"ITEM-1","issue":"11","issued":{"date-parts":[["2019"]]},"page":"e02614","publisher":"Elsevier Ltd","title":"Microarray analysis of transcriptional responses to salt and drought stress in Arabidopsis thaliana","type":"article-journal","volume":"5"},"uris":["http://www.mendeley.com/documents/?uuid=b7b71482-232d-4232-a269-53fb69eac98b"]}],"mendeley":{"formattedCitation":"(Ghorbani et al., 2019)","plainTextFormattedCitation":"(Ghorbani et al., 2019)","previouslyFormattedCitation":"(Ghorbani et al., 2019)"},"properties":{"noteIndex":0},"schema":"https://github.com/citation-style-language/schema/raw/master/csl-citation.json"}</w:instrText>
      </w:r>
      <w:r w:rsidRPr="000E67DC">
        <w:rPr>
          <w:rStyle w:val="FootnoteReference"/>
          <w:rFonts w:ascii="Times New Roman" w:eastAsia="Merriweather" w:hAnsi="Times New Roman" w:cs="Times New Roman"/>
          <w:iCs/>
        </w:rPr>
        <w:fldChar w:fldCharType="separate"/>
      </w:r>
      <w:r w:rsidRPr="00135DF9">
        <w:rPr>
          <w:rFonts w:ascii="Times New Roman" w:eastAsia="Merriweather" w:hAnsi="Times New Roman" w:cs="Times New Roman"/>
          <w:bCs/>
          <w:iCs/>
          <w:noProof/>
          <w:lang w:val="en-US"/>
        </w:rPr>
        <w:t>(Ghorbani et al., 2019)</w:t>
      </w:r>
      <w:r w:rsidRPr="000E67DC">
        <w:rPr>
          <w:rStyle w:val="FootnoteReference"/>
          <w:rFonts w:ascii="Times New Roman" w:eastAsia="Merriweather" w:hAnsi="Times New Roman" w:cs="Times New Roman"/>
          <w:iCs/>
        </w:rPr>
        <w:fldChar w:fldCharType="end"/>
      </w:r>
      <w:r w:rsidRPr="000E67DC">
        <w:rPr>
          <w:rFonts w:ascii="Times New Roman" w:eastAsia="Merriweather" w:hAnsi="Times New Roman" w:cs="Times New Roman"/>
          <w:iCs/>
        </w:rPr>
        <w:t>,</w:t>
      </w:r>
      <w:r>
        <w:rPr>
          <w:rFonts w:ascii="Times New Roman" w:eastAsia="Merriweather" w:hAnsi="Times New Roman" w:cs="Times New Roman"/>
          <w:iCs/>
        </w:rPr>
        <w:t xml:space="preserve"> which may further influence yield </w:t>
      </w:r>
      <w:r w:rsidRPr="000E67DC">
        <w:rPr>
          <w:rFonts w:ascii="Times New Roman" w:eastAsia="Merriweather" w:hAnsi="Times New Roman" w:cs="Times New Roman"/>
          <w:iCs/>
        </w:rPr>
        <w:t xml:space="preserve">components </w:t>
      </w:r>
      <w:r w:rsidRPr="000E67DC">
        <w:rPr>
          <w:rStyle w:val="FootnoteReference"/>
          <w:rFonts w:ascii="Times New Roman" w:eastAsia="Merriweather" w:hAnsi="Times New Roman" w:cs="Times New Roman"/>
          <w:iCs/>
        </w:rPr>
        <w:fldChar w:fldCharType="begin" w:fldLock="1"/>
      </w:r>
      <w:r>
        <w:rPr>
          <w:rFonts w:ascii="Times New Roman" w:eastAsia="Merriweather" w:hAnsi="Times New Roman" w:cs="Times New Roman"/>
          <w:iCs/>
        </w:rPr>
        <w:instrText>ADDIN CSL_CITATION {"citationItems":[{"id":"ITEM-1","itemData":{"DOI":"10.1002/fsn3.3996","ISSN":"20487177","abstract":"The multi-environmental trials aid breeders in selecting the best genotypes for specific or general adaptability to different environments before commercial release. This study aimed to assess the stability of 13 new soybean pure lines, along with two controls, in terms of seed yield and important agronomic traits. The assessment was based on a completely randomized block design with three replications across four areas during 2020–2022. Various adaptability methods, including parametric, AMMI, GGE biplot, PCA, and SIIG were employed. The mixed analysis showed that the effects of environment, genotype, and genotype–environment (GE) interaction were significant for most studied traits. The AMMI showed the highest portion of environment (65.89%) in soybean seed yield. Based on all stability parameters, lines 2 and 5 were selected for their average seed yields of 3349 and 3142 kg ha−1, respectively. Additionally, lines 6 and 5 showed the most stability, yielding higher than the average, which were 2992 and 3142 kg ha−1, respectively, according to GGE biplot results. Furthermore, lines 2, 5, and 8 were identified as the ideal genotypes concerning seed yield and other agronomic traits, with high SIIG parameters and yields exceeding the average. Finally, the soybean line 5 was deemed the most suitable due to its higher yield, stability, and early maturity (128-day growth period). Therefore, line 5 is considered appropriate for its high stability and earliness in various regions of Iran.","author":[{"dropping-particle":"","family":"Majidian","given":"Parastoo","non-dropping-particle":"","parse-names":false,"suffix":""},{"dropping-particle":"","family":"Masoudi","given":"Bahram","non-dropping-particle":"","parse-names":false,"suffix":""},{"dropping-particle":"","family":"Hezarjaribi","given":"Ebrahim","non-dropping-particle":"","parse-names":false,"suffix":""},{"dropping-particle":"","family":"Razmi","given":"Nasrin","non-dropping-particle":"","parse-names":false,"suffix":""},{"dropping-particle":"","family":"Peyghamzadeh","given":"Kamal","non-dropping-particle":"","parse-names":false,"suffix":""},{"dropping-particle":"","family":"Gholizadeh","given":"Amir","non-dropping-particle":"","parse-names":false,"suffix":""}],"container-title":"Food Science and Nutrition","id":"ITEM-1","issue":"5","issued":{"date-parts":[["2024"]]},"page":"3295-3308","title":"Deciphering genotype-by-environment interaction in new soybean lines based on multiple traits using different adaptability and stability methods","type":"article-journal","volume":"12"},"uris":["http://www.mendeley.com/documents/?uuid=06e97092-16a5-4cfc-8d62-6f2a08e9005a"]}],"mendeley":{"formattedCitation":"(Majidian et al., 2024)","plainTextFormattedCitation":"(Majidian et al., 2024)","previouslyFormattedCitation":"(Majidian et al., 2024)"},"properties":{"noteIndex":0},"schema":"https://github.com/citation-style-language/schema/raw/master/csl-citation.json"}</w:instrText>
      </w:r>
      <w:r w:rsidRPr="000E67DC">
        <w:rPr>
          <w:rStyle w:val="FootnoteReference"/>
          <w:rFonts w:ascii="Times New Roman" w:eastAsia="Merriweather" w:hAnsi="Times New Roman" w:cs="Times New Roman"/>
          <w:iCs/>
        </w:rPr>
        <w:fldChar w:fldCharType="separate"/>
      </w:r>
      <w:r w:rsidRPr="00135DF9">
        <w:rPr>
          <w:rFonts w:ascii="Times New Roman" w:eastAsia="Merriweather" w:hAnsi="Times New Roman" w:cs="Times New Roman"/>
          <w:bCs/>
          <w:iCs/>
          <w:noProof/>
          <w:lang w:val="en-US"/>
        </w:rPr>
        <w:t>(Majidian et al., 2024)</w:t>
      </w:r>
      <w:r w:rsidRPr="000E67DC">
        <w:rPr>
          <w:rStyle w:val="FootnoteReference"/>
          <w:rFonts w:ascii="Times New Roman" w:eastAsia="Merriweather" w:hAnsi="Times New Roman" w:cs="Times New Roman"/>
          <w:iCs/>
        </w:rPr>
        <w:fldChar w:fldCharType="end"/>
      </w:r>
      <w:r w:rsidRPr="000E67DC">
        <w:rPr>
          <w:rFonts w:ascii="Times New Roman" w:eastAsia="Merriweather" w:hAnsi="Times New Roman" w:cs="Times New Roman"/>
          <w:iCs/>
        </w:rPr>
        <w:t>.</w:t>
      </w:r>
    </w:p>
    <w:p w14:paraId="3EC93677" w14:textId="3A9BD385" w:rsidR="00E77FA8" w:rsidRDefault="00E77FA8" w:rsidP="000E67DC">
      <w:pPr>
        <w:spacing w:after="0" w:line="240" w:lineRule="auto"/>
        <w:ind w:firstLine="720"/>
        <w:jc w:val="both"/>
        <w:rPr>
          <w:rFonts w:ascii="Times New Roman" w:hAnsi="Times New Roman" w:cs="Times New Roman"/>
          <w:b/>
        </w:rPr>
        <w:sectPr w:rsidR="00E77FA8" w:rsidSect="00FF183A">
          <w:type w:val="continuous"/>
          <w:pgSz w:w="11907" w:h="16840"/>
          <w:pgMar w:top="1134" w:right="1134" w:bottom="1134" w:left="1418" w:header="907" w:footer="907" w:gutter="0"/>
          <w:cols w:space="288"/>
        </w:sectPr>
      </w:pPr>
    </w:p>
    <w:p w14:paraId="3ABC54B4" w14:textId="56D1A3A9" w:rsidR="005537CB" w:rsidRDefault="005537CB" w:rsidP="000E67DC">
      <w:pPr>
        <w:spacing w:after="0" w:line="240" w:lineRule="auto"/>
        <w:ind w:firstLine="720"/>
        <w:jc w:val="both"/>
        <w:rPr>
          <w:rFonts w:ascii="Times New Roman" w:hAnsi="Times New Roman" w:cs="Times New Roman"/>
          <w:b/>
        </w:rPr>
      </w:pPr>
    </w:p>
    <w:p w14:paraId="1D117644" w14:textId="77777777" w:rsidR="00DF13FA" w:rsidRPr="000E67DC" w:rsidRDefault="00DF13FA" w:rsidP="00DF13FA">
      <w:pPr>
        <w:spacing w:after="0" w:line="240" w:lineRule="auto"/>
        <w:ind w:firstLine="426"/>
        <w:jc w:val="center"/>
        <w:rPr>
          <w:rFonts w:ascii="Times New Roman" w:eastAsia="Book Antiqua" w:hAnsi="Times New Roman" w:cs="Times New Roman"/>
          <w:sz w:val="20"/>
          <w:szCs w:val="20"/>
        </w:rPr>
      </w:pPr>
      <w:r w:rsidRPr="000E67DC">
        <w:rPr>
          <w:rFonts w:ascii="Times New Roman" w:eastAsia="Book Antiqua" w:hAnsi="Times New Roman" w:cs="Times New Roman"/>
          <w:noProof/>
          <w:sz w:val="20"/>
          <w:szCs w:val="20"/>
        </w:rPr>
        <w:drawing>
          <wp:inline distT="0" distB="0" distL="0" distR="0" wp14:anchorId="18FEF129" wp14:editId="15CC412B">
            <wp:extent cx="3023784" cy="2954741"/>
            <wp:effectExtent l="0" t="0" r="5715" b="0"/>
            <wp:docPr id="154166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66619" name="Picture 1541666619"/>
                    <pic:cNvPicPr/>
                  </pic:nvPicPr>
                  <pic:blipFill rotWithShape="1">
                    <a:blip r:embed="rId17" cstate="print">
                      <a:extLst>
                        <a:ext uri="{BEBA8EAE-BF5A-486C-A8C5-ECC9F3942E4B}">
                          <a14:imgProps xmlns:a14="http://schemas.microsoft.com/office/drawing/2010/main">
                            <a14:imgLayer r:embed="rId18">
                              <a14:imgEffect>
                                <a14:brightnessContrast bright="6000"/>
                              </a14:imgEffect>
                            </a14:imgLayer>
                          </a14:imgProps>
                        </a:ext>
                        <a:ext uri="{28A0092B-C50C-407E-A947-70E740481C1C}">
                          <a14:useLocalDpi xmlns:a14="http://schemas.microsoft.com/office/drawing/2010/main" val="0"/>
                        </a:ext>
                      </a:extLst>
                    </a:blip>
                    <a:srcRect t="5389" r="3657"/>
                    <a:stretch/>
                  </pic:blipFill>
                  <pic:spPr bwMode="auto">
                    <a:xfrm>
                      <a:off x="0" y="0"/>
                      <a:ext cx="3062022" cy="2992106"/>
                    </a:xfrm>
                    <a:prstGeom prst="rect">
                      <a:avLst/>
                    </a:prstGeom>
                    <a:ln>
                      <a:noFill/>
                    </a:ln>
                    <a:extLst>
                      <a:ext uri="{53640926-AAD7-44D8-BBD7-CCE9431645EC}">
                        <a14:shadowObscured xmlns:a14="http://schemas.microsoft.com/office/drawing/2010/main"/>
                      </a:ext>
                    </a:extLst>
                  </pic:spPr>
                </pic:pic>
              </a:graphicData>
            </a:graphic>
          </wp:inline>
        </w:drawing>
      </w:r>
    </w:p>
    <w:p w14:paraId="67BF1548" w14:textId="77777777" w:rsidR="00DF13FA" w:rsidRDefault="00DF13FA" w:rsidP="00DF13FA">
      <w:pPr>
        <w:spacing w:after="0" w:line="240" w:lineRule="auto"/>
        <w:ind w:firstLine="426"/>
        <w:jc w:val="center"/>
        <w:rPr>
          <w:rFonts w:ascii="Times New Roman" w:eastAsia="Book Antiqua" w:hAnsi="Times New Roman" w:cs="Times New Roman"/>
          <w:sz w:val="20"/>
          <w:szCs w:val="20"/>
        </w:rPr>
        <w:sectPr w:rsidR="00DF13FA" w:rsidSect="00FF183A">
          <w:type w:val="continuous"/>
          <w:pgSz w:w="11907" w:h="16840"/>
          <w:pgMar w:top="1134" w:right="1134" w:bottom="1134" w:left="1418" w:header="907" w:footer="907" w:gutter="0"/>
          <w:cols w:space="288"/>
        </w:sectPr>
      </w:pPr>
    </w:p>
    <w:p w14:paraId="41F2C1BB" w14:textId="4A46B118" w:rsidR="00DF13FA" w:rsidRPr="000E67DC" w:rsidRDefault="00DF13FA" w:rsidP="00DF13FA">
      <w:pPr>
        <w:spacing w:after="0" w:line="240" w:lineRule="auto"/>
        <w:jc w:val="center"/>
        <w:rPr>
          <w:rFonts w:ascii="Times New Roman" w:eastAsia="Book Antiqua" w:hAnsi="Times New Roman" w:cs="Times New Roman"/>
          <w:sz w:val="20"/>
          <w:szCs w:val="20"/>
        </w:rPr>
      </w:pPr>
      <w:r w:rsidRPr="000E67DC">
        <w:rPr>
          <w:rFonts w:ascii="Times New Roman" w:eastAsia="Book Antiqua" w:hAnsi="Times New Roman" w:cs="Times New Roman"/>
          <w:sz w:val="20"/>
          <w:szCs w:val="20"/>
        </w:rPr>
        <w:t>Figure 1. Seed phenotype variation among 20 soybean genotypes</w:t>
      </w:r>
    </w:p>
    <w:p w14:paraId="28A04C0A" w14:textId="77777777" w:rsidR="00DF13FA" w:rsidRDefault="00DF13FA" w:rsidP="004C7224">
      <w:pPr>
        <w:spacing w:after="0" w:line="240" w:lineRule="auto"/>
        <w:jc w:val="both"/>
        <w:rPr>
          <w:rFonts w:ascii="Times New Roman" w:hAnsi="Times New Roman" w:cs="Times New Roman"/>
          <w:b/>
        </w:rPr>
        <w:sectPr w:rsidR="00DF13FA" w:rsidSect="00FF183A">
          <w:type w:val="continuous"/>
          <w:pgSz w:w="11907" w:h="16840"/>
          <w:pgMar w:top="1134" w:right="1134" w:bottom="1134" w:left="1418" w:header="907" w:footer="907" w:gutter="0"/>
          <w:cols w:space="288"/>
        </w:sectPr>
      </w:pPr>
    </w:p>
    <w:p w14:paraId="345F7458" w14:textId="77777777" w:rsidR="00307D19" w:rsidRDefault="00307D19" w:rsidP="000E67DC">
      <w:pPr>
        <w:spacing w:after="0" w:line="240" w:lineRule="auto"/>
        <w:rPr>
          <w:rFonts w:ascii="Times New Roman" w:hAnsi="Times New Roman" w:cs="Times New Roman"/>
          <w:b/>
          <w:sz w:val="20"/>
          <w:szCs w:val="20"/>
        </w:rPr>
        <w:sectPr w:rsidR="00307D19" w:rsidSect="00FF183A">
          <w:footerReference w:type="default" r:id="rId19"/>
          <w:type w:val="continuous"/>
          <w:pgSz w:w="11907" w:h="16840"/>
          <w:pgMar w:top="1134" w:right="1134" w:bottom="1134" w:left="1418" w:header="907" w:footer="907" w:gutter="0"/>
          <w:cols w:space="288"/>
        </w:sectPr>
      </w:pPr>
    </w:p>
    <w:p w14:paraId="5B074AF7" w14:textId="77777777" w:rsidR="00307D19" w:rsidRDefault="00307D19" w:rsidP="00307D19">
      <w:pPr>
        <w:spacing w:after="0" w:line="240" w:lineRule="auto"/>
        <w:jc w:val="both"/>
        <w:rPr>
          <w:rFonts w:ascii="Times New Roman" w:eastAsia="Merriweather" w:hAnsi="Times New Roman" w:cs="Times New Roman"/>
          <w:iCs/>
        </w:rPr>
        <w:sectPr w:rsidR="00307D19" w:rsidSect="00FF183A">
          <w:type w:val="continuous"/>
          <w:pgSz w:w="11907" w:h="16840"/>
          <w:pgMar w:top="1134" w:right="1134" w:bottom="1134" w:left="1418" w:header="907" w:footer="907" w:gutter="0"/>
          <w:cols w:space="576"/>
        </w:sectPr>
      </w:pPr>
      <w:bookmarkStart w:id="1" w:name="_Ref168590656"/>
    </w:p>
    <w:p w14:paraId="690AC056" w14:textId="36559318" w:rsidR="007E3AF8" w:rsidRPr="000E67DC" w:rsidRDefault="0042708E" w:rsidP="00307D19">
      <w:pPr>
        <w:spacing w:after="0" w:line="240" w:lineRule="auto"/>
        <w:jc w:val="both"/>
        <w:rPr>
          <w:rFonts w:ascii="Times New Roman" w:eastAsia="Merriweather" w:hAnsi="Times New Roman" w:cs="Times New Roman"/>
          <w:iCs/>
        </w:rPr>
      </w:pPr>
      <w:r w:rsidRPr="000E67DC">
        <w:rPr>
          <w:rFonts w:ascii="Times New Roman" w:eastAsia="Merriweather" w:hAnsi="Times New Roman" w:cs="Times New Roman"/>
          <w:iCs/>
        </w:rPr>
        <w:lastRenderedPageBreak/>
        <w:t xml:space="preserve">A study conducted by </w:t>
      </w:r>
      <w:r w:rsidR="007B1E4E" w:rsidRPr="000E67DC">
        <w:rPr>
          <w:rStyle w:val="FootnoteReference"/>
          <w:rFonts w:ascii="Times New Roman" w:eastAsia="Merriweather" w:hAnsi="Times New Roman" w:cs="Times New Roman"/>
          <w:iCs/>
        </w:rPr>
        <w:fldChar w:fldCharType="begin" w:fldLock="1"/>
      </w:r>
      <w:r w:rsidR="00135DF9">
        <w:rPr>
          <w:rFonts w:ascii="Times New Roman" w:eastAsia="Merriweather" w:hAnsi="Times New Roman" w:cs="Times New Roman"/>
          <w:iCs/>
        </w:rPr>
        <w:instrText>ADDIN CSL_CITATION {"citationItems":[{"id":"ITEM-1","itemData":{"DOI":"10.37992/2023.1403.098","ISSN":"0975928X","abstract":"Forage maize breeders face a significant challenge in identifying genetic make-up that are superior for green fodder yield. Because it is influenced by polygenic trait. Therefore, understanding the relationship between biomass yield and other contributing characters would be very useful in selecting better genotype for improving green fodder yield. Forty one fodder maize inbred lines were evaluated in a randomized complete block design during June –September, 2021 to design selection index through various genetic and multivariate analyses to identify elite fodder maize inbreds for hybridization. The genotypes were evaluated for fourteen biometrical and four fodder quality traits. The association analysis revealed that plant height, leaf length, leaf breadth, number of nodes, stem girth, L/S ratio had highly significant contribution towards green fodder yield. The D2 analysis indicated that green fodder yield has contributed about 55.60 per cent to the total variation followed by dry matter yield for about 17.92%. The Multivariate Genotype- Ideotype Distance Index analysis identified six superior inbreds namely GETM 25, UMI 1210, UMI 1221, African Tall, GETM 69 and TNFM 139-1.","author":[{"dropping-particle":"","family":"Palaniyappan","given":"S.","non-dropping-particle":"","parse-names":false,"suffix":""},{"dropping-particle":"","family":"Ganesan","given":"K. N.","non-dropping-particle":"","parse-names":false,"suffix":""},{"dropping-particle":"","family":"Manivannan","given":"N.","non-dropping-particle":"","parse-names":false,"suffix":""},{"dropping-particle":"","family":"Ravichandran","given":"V.","non-dropping-particle":"","parse-names":false,"suffix":""},{"dropping-particle":"","family":"Senthil","given":"N.","non-dropping-particle":"","parse-names":false,"suffix":""}],"container-title":"Electronic Journal of Plant Breeding","id":"ITEM-1","issue":"3","issued":{"date-parts":[["2023"]]},"page":"841-849","title":"Multi trait genotype- ideotype distance index - A tool for identification of elite parental inbreds for developing heterotic hybrids of fodder maize (Zea mays L.)","type":"article-journal","volume":"14"},"uris":["http://www.mendeley.com/documents/?uuid=3d9aeeab-289a-4679-8d7c-dafa59a59370"]}],"mendeley":{"formattedCitation":"(Palaniyappan et al., 2023)","manualFormatting":"Palaniyappan et al. (2023)","plainTextFormattedCitation":"(Palaniyappan et al., 2023)","previouslyFormattedCitation":"(Palaniyappan et al., 2023)"},"properties":{"noteIndex":0},"schema":"https://github.com/citation-style-language/schema/raw/master/csl-citation.json"}</w:instrText>
      </w:r>
      <w:r w:rsidR="007B1E4E" w:rsidRPr="000E67DC">
        <w:rPr>
          <w:rStyle w:val="FootnoteReference"/>
          <w:rFonts w:ascii="Times New Roman" w:eastAsia="Merriweather" w:hAnsi="Times New Roman" w:cs="Times New Roman"/>
          <w:iCs/>
        </w:rPr>
        <w:fldChar w:fldCharType="separate"/>
      </w:r>
      <w:r w:rsidR="007B1E4E" w:rsidRPr="000E67DC">
        <w:rPr>
          <w:rFonts w:ascii="Times New Roman" w:eastAsia="Merriweather" w:hAnsi="Times New Roman" w:cs="Times New Roman"/>
          <w:iCs/>
          <w:noProof/>
        </w:rPr>
        <w:t>Palaniyappan et al. (2023)</w:t>
      </w:r>
      <w:r w:rsidR="007B1E4E" w:rsidRPr="000E67DC">
        <w:rPr>
          <w:rStyle w:val="FootnoteReference"/>
          <w:rFonts w:ascii="Times New Roman" w:eastAsia="Merriweather" w:hAnsi="Times New Roman" w:cs="Times New Roman"/>
          <w:iCs/>
        </w:rPr>
        <w:fldChar w:fldCharType="end"/>
      </w:r>
      <w:r w:rsidRPr="000E67DC">
        <w:rPr>
          <w:rFonts w:ascii="Times New Roman" w:hAnsi="Times New Roman" w:cs="Times New Roman"/>
          <w:sz w:val="24"/>
          <w:szCs w:val="24"/>
        </w:rPr>
        <w:t xml:space="preserve"> </w:t>
      </w:r>
      <w:r w:rsidRPr="000E67DC">
        <w:rPr>
          <w:rFonts w:ascii="Times New Roman" w:eastAsia="Merriweather" w:hAnsi="Times New Roman" w:cs="Times New Roman"/>
          <w:iCs/>
        </w:rPr>
        <w:t>reported that the plant height positively correlate with total biomass production. The biomass weight varies significantly among the genotypes, ranging from 0.33 g (BS 79) to 1.20 g (Dena 1). Genotypes like Dena 1 and Deja 2 exhibit higher biomass production, suggesting better growth performance and potential for increased photosynthetic capacity, which could be favorable for yield.</w:t>
      </w:r>
    </w:p>
    <w:p w14:paraId="623E4E64" w14:textId="425F65E1" w:rsidR="00D83748" w:rsidRDefault="00D83748" w:rsidP="000E67DC">
      <w:pPr>
        <w:spacing w:after="0" w:line="240" w:lineRule="auto"/>
        <w:ind w:firstLine="720"/>
        <w:jc w:val="both"/>
        <w:rPr>
          <w:rFonts w:ascii="Times New Roman" w:eastAsia="Merriweather" w:hAnsi="Times New Roman" w:cs="Times New Roman"/>
          <w:iCs/>
        </w:rPr>
      </w:pPr>
      <w:r w:rsidRPr="000E67DC">
        <w:rPr>
          <w:rFonts w:ascii="Times New Roman" w:eastAsia="Merriweather" w:hAnsi="Times New Roman" w:cs="Times New Roman"/>
          <w:iCs/>
        </w:rPr>
        <w:t>The w</w:t>
      </w:r>
      <w:r w:rsidR="00BB296E" w:rsidRPr="000E67DC">
        <w:rPr>
          <w:rFonts w:ascii="Times New Roman" w:eastAsia="Merriweather" w:hAnsi="Times New Roman" w:cs="Times New Roman"/>
          <w:iCs/>
        </w:rPr>
        <w:t>e</w:t>
      </w:r>
      <w:r w:rsidRPr="000E67DC">
        <w:rPr>
          <w:rFonts w:ascii="Times New Roman" w:eastAsia="Merriweather" w:hAnsi="Times New Roman" w:cs="Times New Roman"/>
          <w:iCs/>
        </w:rPr>
        <w:t xml:space="preserve">ight of 100 seeds reflects the size and density of the seeds, serving as an indicator of seed quality and potential yield of the soybean plants. The </w:t>
      </w:r>
      <w:r w:rsidRPr="000E67DC">
        <w:rPr>
          <w:rFonts w:ascii="Times New Roman" w:eastAsia="Merriweather" w:hAnsi="Times New Roman" w:cs="Times New Roman"/>
        </w:rPr>
        <w:t>Biosoy</w:t>
      </w:r>
      <w:r w:rsidRPr="000E67DC">
        <w:rPr>
          <w:rFonts w:ascii="Times New Roman" w:eastAsia="Merriweather" w:hAnsi="Times New Roman" w:cs="Times New Roman"/>
          <w:iCs/>
        </w:rPr>
        <w:t xml:space="preserve"> genotype showed the highest weight (24.80 g), while </w:t>
      </w:r>
      <w:r w:rsidRPr="000E67DC">
        <w:rPr>
          <w:rFonts w:ascii="Times New Roman" w:eastAsia="Merriweather" w:hAnsi="Times New Roman" w:cs="Times New Roman"/>
        </w:rPr>
        <w:t>Gepak Kuning</w:t>
      </w:r>
      <w:r w:rsidRPr="000E67DC">
        <w:rPr>
          <w:rFonts w:ascii="Times New Roman" w:eastAsia="Merriweather" w:hAnsi="Times New Roman" w:cs="Times New Roman"/>
          <w:iCs/>
        </w:rPr>
        <w:t xml:space="preserve"> had the lowest weight (10.06 g). </w:t>
      </w:r>
      <w:r w:rsidR="00BB296E" w:rsidRPr="000E67DC">
        <w:rPr>
          <w:rFonts w:ascii="Times New Roman" w:eastAsia="Merriweather" w:hAnsi="Times New Roman" w:cs="Times New Roman"/>
          <w:iCs/>
        </w:rPr>
        <w:t>In addition</w:t>
      </w:r>
      <w:r w:rsidRPr="000E67DC">
        <w:rPr>
          <w:rFonts w:ascii="Times New Roman" w:eastAsia="Merriweather" w:hAnsi="Times New Roman" w:cs="Times New Roman"/>
          <w:iCs/>
        </w:rPr>
        <w:t xml:space="preserve">, the number of seeds per plant (NSP) was highest in </w:t>
      </w:r>
      <w:r w:rsidRPr="000E67DC">
        <w:rPr>
          <w:rFonts w:ascii="Times New Roman" w:eastAsia="Merriweather" w:hAnsi="Times New Roman" w:cs="Times New Roman"/>
        </w:rPr>
        <w:t>Demas 1</w:t>
      </w:r>
      <w:r w:rsidRPr="000E67DC">
        <w:rPr>
          <w:rFonts w:ascii="Times New Roman" w:eastAsia="Merriweather" w:hAnsi="Times New Roman" w:cs="Times New Roman"/>
          <w:iCs/>
        </w:rPr>
        <w:t xml:space="preserve"> (204.94), but it had a relatively low W100. Similarly, the </w:t>
      </w:r>
      <w:r w:rsidRPr="000E67DC">
        <w:rPr>
          <w:rFonts w:ascii="Times New Roman" w:eastAsia="Merriweather" w:hAnsi="Times New Roman" w:cs="Times New Roman"/>
        </w:rPr>
        <w:t xml:space="preserve">Grobogan </w:t>
      </w:r>
      <w:r w:rsidRPr="000E67DC">
        <w:rPr>
          <w:rFonts w:ascii="Times New Roman" w:eastAsia="Merriweather" w:hAnsi="Times New Roman" w:cs="Times New Roman"/>
          <w:iCs/>
        </w:rPr>
        <w:t xml:space="preserve">genotype had the lowest NSP (32.72) but a relatively high W100. The research conducted by </w:t>
      </w:r>
      <w:r w:rsidR="007B1E4E" w:rsidRPr="000E67DC">
        <w:rPr>
          <w:rStyle w:val="FootnoteReference"/>
          <w:rFonts w:ascii="Times New Roman" w:eastAsia="Merriweather" w:hAnsi="Times New Roman" w:cs="Times New Roman"/>
          <w:iCs/>
        </w:rPr>
        <w:fldChar w:fldCharType="begin" w:fldLock="1"/>
      </w:r>
      <w:r w:rsidR="00135DF9">
        <w:rPr>
          <w:rFonts w:ascii="Times New Roman" w:eastAsia="Merriweather" w:hAnsi="Times New Roman" w:cs="Times New Roman"/>
          <w:iCs/>
        </w:rPr>
        <w:instrText>ADDIN CSL_CITATION {"citationItems":[{"id":"ITEM-1","itemData":{"DOI":"10.3389/fpls.2018.01705","ISSN":"1664462X","abstract":"Drought (water deficits) and heat (high temperatures) stress are the prime abiotic constraints, under the current and climate change scenario in future. Any further increase in the occurrence, and extremity of these stresses, either individually or in combination, would severely reduce the crop productivity and food security, globally. Although, they obstruct productivity at all crop growth stages, the extent of damage at reproductive phase of crop growth, mainly the seed filling phase, is critical and causes considerable yield losses. Drought and heat stress substantially affect the seed yields by reducing seed size and number, eventually affecting the commercial trait ‘100 seed weight’ and seed quality. Seed filling is influenced by various metabolic processes occurring in the leaves, especially production and translocation of photoassimilates, importing precursors for biosynthesis of seed reserves, minerals and other functional constituents. These processes are highly sensitive to drought and heat, due to involvement of array of diverse enzymes and transporters, located in the leaves and seeds. We highlight here the findings in various food crops showing how their seed composition is drastically impacted at various cellular levels due to drought and heat stresses, applied separately, or in combination. The combined stresses are extremely detrimental for seed yield and its quality, and thus need more attention. Understanding the precise target sites regulating seed filling events in leaves and seeds, and how they are affected by abiotic stresses, is imperative to enhance the seed quality. It is vital to know the physiological, biochemical and genetic mechanisms, which govern the various seed filling events under stress environments, to devise strategies to improve stress tolerance. Converging modern advances in physiology, biochemistry and biotechnology, especially the “omics” technologies might provide a strong impetus to research on this aspect. Such application, along with effective agronomic management system would pave the way in developing crop genotypes/varieties with improved productivity under drought and/or heat stresses.","author":[{"dropping-particle":"","family":"Sehgal","given":"Akanksha","non-dropping-particle":"","parse-names":false,"suffix":""},{"dropping-particle":"","family":"Sita","given":"Kumari","non-dropping-particle":"","parse-names":false,"suffix":""},{"dropping-particle":"","family":"Siddique","given":"Kadambot H.M.","non-dropping-particle":"","parse-names":false,"suffix":""},{"dropping-particle":"","family":"Kumar","given":"Rakesh","non-dropping-particle":"","parse-names":false,"suffix":""},{"dropping-particle":"","family":"Bhogireddy","given":"Sailaja","non-dropping-particle":"","parse-names":false,"suffix":""},{"dropping-particle":"","family":"Varshney","given":"Rajeev K.","non-dropping-particle":"","parse-names":false,"suffix":""},{"dropping-particle":"","family":"HanumanthaRao","given":"Bindumadhava","non-dropping-particle":"","parse-names":false,"suffix":""},{"dropping-particle":"","family":"Nair","given":"Ramakrishnan M.","non-dropping-particle":"","parse-names":false,"suffix":""},{"dropping-particle":"","family":"Prasad","given":"P. V.Vara","non-dropping-particle":"","parse-names":false,"suffix":""},{"dropping-particle":"","family":"Nayyar","given":"Harsh","non-dropping-particle":"","parse-names":false,"suffix":""}],"container-title":"Frontiers in Plant Science","id":"ITEM-1","issue":"November","issued":{"date-parts":[["2018"]]},"page":"1-19","title":"Drought or/and heat-stress effects on seed filling in food crops: Impacts on functional biochemistry, seed yields, and nutritional quality","type":"article-journal","volume":"871"},"uris":["http://www.mendeley.com/documents/?uuid=cc8469ea-1155-492c-9265-b9af86e344a0"]}],"mendeley":{"formattedCitation":"(Sehgal et al., 2018)","manualFormatting":"Sehgal et al., (2018)","plainTextFormattedCitation":"(Sehgal et al., 2018)","previouslyFormattedCitation":"(Sehgal et al., 2018)"},"properties":{"noteIndex":0},"schema":"https://github.com/citation-style-language/schema/raw/master/csl-citation.json"}</w:instrText>
      </w:r>
      <w:r w:rsidR="007B1E4E" w:rsidRPr="000E67DC">
        <w:rPr>
          <w:rStyle w:val="FootnoteReference"/>
          <w:rFonts w:ascii="Times New Roman" w:eastAsia="Merriweather" w:hAnsi="Times New Roman" w:cs="Times New Roman"/>
          <w:iCs/>
        </w:rPr>
        <w:fldChar w:fldCharType="separate"/>
      </w:r>
      <w:r w:rsidR="007B1E4E" w:rsidRPr="000E67DC">
        <w:rPr>
          <w:rFonts w:ascii="Times New Roman" w:eastAsia="Merriweather" w:hAnsi="Times New Roman" w:cs="Times New Roman"/>
          <w:iCs/>
          <w:noProof/>
        </w:rPr>
        <w:t>Sehgal et al., (2018)</w:t>
      </w:r>
      <w:r w:rsidR="007B1E4E" w:rsidRPr="000E67DC">
        <w:rPr>
          <w:rStyle w:val="FootnoteReference"/>
          <w:rFonts w:ascii="Times New Roman" w:eastAsia="Merriweather" w:hAnsi="Times New Roman" w:cs="Times New Roman"/>
          <w:iCs/>
        </w:rPr>
        <w:fldChar w:fldCharType="end"/>
      </w:r>
      <w:r w:rsidRPr="000E67DC">
        <w:rPr>
          <w:rFonts w:ascii="Times New Roman" w:eastAsia="Merriweather" w:hAnsi="Times New Roman" w:cs="Times New Roman"/>
          <w:iCs/>
        </w:rPr>
        <w:t xml:space="preserve"> found that an increase in 100-seed weight is associated with larger seed</w:t>
      </w:r>
      <w:r w:rsidR="00350F51" w:rsidRPr="000E67DC">
        <w:rPr>
          <w:rFonts w:ascii="Times New Roman" w:eastAsia="Merriweather" w:hAnsi="Times New Roman" w:cs="Times New Roman"/>
          <w:iCs/>
        </w:rPr>
        <w:t>, which shown in Figure 1.</w:t>
      </w:r>
      <w:r w:rsidRPr="000E67DC">
        <w:rPr>
          <w:rFonts w:ascii="Times New Roman" w:eastAsia="Merriweather" w:hAnsi="Times New Roman" w:cs="Times New Roman"/>
          <w:iCs/>
        </w:rPr>
        <w:t xml:space="preserve"> However, a larger seed size tends to lead to a reduction in the number of seeds produced. This is likely due to an interruption during the critical period for determining seed number, which spans from the R1 growth stage (initial bloom) to between the R5 (beginning of seed fill) and R6 stages </w:t>
      </w:r>
      <w:r w:rsidR="007B1E4E" w:rsidRPr="000E67DC">
        <w:rPr>
          <w:rStyle w:val="FootnoteReference"/>
          <w:rFonts w:ascii="Times New Roman" w:eastAsia="Merriweather" w:hAnsi="Times New Roman" w:cs="Times New Roman"/>
          <w:iCs/>
        </w:rPr>
        <w:fldChar w:fldCharType="begin" w:fldLock="1"/>
      </w:r>
      <w:r w:rsidR="00451B4E">
        <w:rPr>
          <w:rFonts w:ascii="Times New Roman" w:eastAsia="Merriweather" w:hAnsi="Times New Roman" w:cs="Times New Roman"/>
          <w:iCs/>
        </w:rPr>
        <w:instrText>ADDIN CSL_CITATION {"citationItems":[{"id":"ITEM-1","itemData":{"DOI":"10.1079/9781780647708.0000","abstract":"This book examines the influence of the seed on production of grain crop yield. After an introductory chapter, the next two chapters examine seed growth and development, including the effect of the environment and genetic traits on growth rate and length of filling period. The next chapter discussed the role of the seed in regulating the two main components of yield, individual seed weight and number of seeds per unit area. The final chapter evaluates the concepts and models developed earlier in the book in terms of crop management. Data given in the book is principally concerned with cereals and grain legumes.","author":[{"dropping-particle":"","family":"Egli","given":"D. B","non-dropping-particle":"","parse-names":false,"suffix":""}],"container-title":"Seed biology and yield of grain crops","id":"ITEM-1","issued":{"date-parts":[["2017"]]},"title":"Seed biology and yield of grain crops","type":"book"},"uris":["http://www.mendeley.com/documents/?uuid=714e7549-11e4-37a3-9cb2-c26a9194dcbb"]}],"mendeley":{"formattedCitation":"(Egli, 2017)","plainTextFormattedCitation":"(Egli, 2017)","previouslyFormattedCitation":"(Egli, 2017)"},"properties":{"noteIndex":0},"schema":"https://github.com/citation-style-language/schema/raw/master/csl-citation.json"}</w:instrText>
      </w:r>
      <w:r w:rsidR="007B1E4E" w:rsidRPr="000E67DC">
        <w:rPr>
          <w:rStyle w:val="FootnoteReference"/>
          <w:rFonts w:ascii="Times New Roman" w:eastAsia="Merriweather" w:hAnsi="Times New Roman" w:cs="Times New Roman"/>
          <w:iCs/>
        </w:rPr>
        <w:fldChar w:fldCharType="separate"/>
      </w:r>
      <w:r w:rsidR="002D2D54" w:rsidRPr="002D2D54">
        <w:rPr>
          <w:rFonts w:ascii="Times New Roman" w:eastAsia="Merriweather" w:hAnsi="Times New Roman" w:cs="Times New Roman"/>
          <w:iCs/>
          <w:noProof/>
        </w:rPr>
        <w:t>(Egli, 2017)</w:t>
      </w:r>
      <w:r w:rsidR="007B1E4E" w:rsidRPr="000E67DC">
        <w:rPr>
          <w:rStyle w:val="FootnoteReference"/>
          <w:rFonts w:ascii="Times New Roman" w:eastAsia="Merriweather" w:hAnsi="Times New Roman" w:cs="Times New Roman"/>
          <w:iCs/>
        </w:rPr>
        <w:fldChar w:fldCharType="end"/>
      </w:r>
      <w:r w:rsidRPr="000E67DC">
        <w:rPr>
          <w:rFonts w:ascii="Times New Roman" w:eastAsia="Merriweather" w:hAnsi="Times New Roman" w:cs="Times New Roman"/>
          <w:iCs/>
        </w:rPr>
        <w:t xml:space="preserve">, particularly during dry seasons. A higher number of seeds and larger seed size usually contribute directly to an increase in total yield, although other factors such as seed size and environmental conditions also play a role. Genotypes with a higher weight of seeds per plot (WSP), such as </w:t>
      </w:r>
      <w:r w:rsidRPr="000E67DC">
        <w:rPr>
          <w:rFonts w:ascii="Times New Roman" w:eastAsia="Merriweather" w:hAnsi="Times New Roman" w:cs="Times New Roman"/>
        </w:rPr>
        <w:t>Deja 1</w:t>
      </w:r>
      <w:r w:rsidRPr="000E67DC">
        <w:rPr>
          <w:rFonts w:ascii="Times New Roman" w:eastAsia="Merriweather" w:hAnsi="Times New Roman" w:cs="Times New Roman"/>
          <w:iCs/>
        </w:rPr>
        <w:t xml:space="preserve"> (0.99 kg) and </w:t>
      </w:r>
      <w:r w:rsidRPr="000E67DC">
        <w:rPr>
          <w:rFonts w:ascii="Times New Roman" w:eastAsia="Merriweather" w:hAnsi="Times New Roman" w:cs="Times New Roman"/>
        </w:rPr>
        <w:t>Gepak Kuning</w:t>
      </w:r>
      <w:r w:rsidRPr="000E67DC">
        <w:rPr>
          <w:rFonts w:ascii="Times New Roman" w:eastAsia="Merriweather" w:hAnsi="Times New Roman" w:cs="Times New Roman"/>
          <w:iCs/>
        </w:rPr>
        <w:t xml:space="preserve"> (0.58 kg), demonstrated the efficiency of these genotypes in producing seeds under wetland during dry season. Significant variation in yield component variables across genotypes was caused by decreased soil water content in wetlands during the dry season.</w:t>
      </w:r>
    </w:p>
    <w:p w14:paraId="41D3D599" w14:textId="5C9FC047" w:rsidR="00307D19" w:rsidRDefault="00307D19" w:rsidP="00307D19">
      <w:pPr>
        <w:spacing w:after="0" w:line="240" w:lineRule="auto"/>
        <w:ind w:firstLine="720"/>
        <w:jc w:val="both"/>
        <w:rPr>
          <w:rFonts w:ascii="Times New Roman" w:eastAsia="Merriweather" w:hAnsi="Times New Roman" w:cs="Times New Roman"/>
          <w:iCs/>
        </w:rPr>
        <w:sectPr w:rsidR="00307D19" w:rsidSect="00FF183A">
          <w:type w:val="continuous"/>
          <w:pgSz w:w="11907" w:h="16840"/>
          <w:pgMar w:top="1134" w:right="1134" w:bottom="1134" w:left="1418" w:header="907" w:footer="907" w:gutter="0"/>
          <w:cols w:space="288"/>
        </w:sectPr>
      </w:pPr>
      <w:r w:rsidRPr="000E67DC">
        <w:rPr>
          <w:rFonts w:ascii="Times New Roman" w:eastAsia="Merriweather" w:hAnsi="Times New Roman" w:cs="Times New Roman"/>
          <w:iCs/>
          <w:lang w:val="en-US"/>
        </w:rPr>
        <w:t>R1-R8</w:t>
      </w:r>
      <w:r w:rsidR="00BF08F7">
        <w:rPr>
          <w:rFonts w:ascii="Times New Roman" w:eastAsia="Merriweather" w:hAnsi="Times New Roman" w:cs="Times New Roman"/>
          <w:iCs/>
          <w:lang w:val="en-US"/>
        </w:rPr>
        <w:t xml:space="preserve"> </w:t>
      </w:r>
      <w:r w:rsidRPr="000E67DC">
        <w:rPr>
          <w:rFonts w:ascii="Times New Roman" w:eastAsia="Merriweather" w:hAnsi="Times New Roman" w:cs="Times New Roman"/>
          <w:iCs/>
          <w:lang w:val="en-US"/>
        </w:rPr>
        <w:t xml:space="preserve">(Reproductive Stage 1 to Reproductive Stage 8) indicates the total duration from the R1 stage (initial flowering) to the R8 stage (physiological maturity). Variation among genotypes shows that some, such as </w:t>
      </w:r>
      <w:r w:rsidRPr="000E67DC">
        <w:rPr>
          <w:rFonts w:ascii="Times New Roman" w:eastAsia="Merriweather" w:hAnsi="Times New Roman" w:cs="Times New Roman"/>
          <w:lang w:val="en-US"/>
        </w:rPr>
        <w:t>Deja 1</w:t>
      </w:r>
      <w:r w:rsidRPr="000E67DC">
        <w:rPr>
          <w:rFonts w:ascii="Times New Roman" w:eastAsia="Merriweather" w:hAnsi="Times New Roman" w:cs="Times New Roman"/>
          <w:iCs/>
          <w:lang w:val="en-US"/>
        </w:rPr>
        <w:t xml:space="preserve"> (61.0 days) and </w:t>
      </w:r>
      <w:r w:rsidRPr="000E67DC">
        <w:rPr>
          <w:rFonts w:ascii="Times New Roman" w:eastAsia="Merriweather" w:hAnsi="Times New Roman" w:cs="Times New Roman"/>
          <w:lang w:val="en-US"/>
        </w:rPr>
        <w:t>Demas 1</w:t>
      </w:r>
      <w:r w:rsidRPr="000E67DC">
        <w:rPr>
          <w:rFonts w:ascii="Times New Roman" w:eastAsia="Merriweather" w:hAnsi="Times New Roman" w:cs="Times New Roman"/>
          <w:iCs/>
          <w:lang w:val="en-US"/>
        </w:rPr>
        <w:t xml:space="preserve"> (61.7 days), have a shorter</w:t>
      </w:r>
      <w:r>
        <w:rPr>
          <w:rFonts w:ascii="Times New Roman" w:eastAsia="Merriweather" w:hAnsi="Times New Roman" w:cs="Times New Roman"/>
          <w:iCs/>
          <w:lang w:val="en-US"/>
        </w:rPr>
        <w:t xml:space="preserve"> rep</w:t>
      </w:r>
      <w:r w:rsidR="00E77FA8" w:rsidRPr="000E67DC">
        <w:rPr>
          <w:rFonts w:ascii="Times New Roman" w:eastAsia="Merriweather" w:hAnsi="Times New Roman" w:cs="Times New Roman"/>
          <w:iCs/>
          <w:lang w:val="en-US"/>
        </w:rPr>
        <w:t xml:space="preserve">roductive cycle compared to others, such as </w:t>
      </w:r>
      <w:r w:rsidR="00E77FA8" w:rsidRPr="000E67DC">
        <w:rPr>
          <w:rFonts w:ascii="Times New Roman" w:eastAsia="Merriweather" w:hAnsi="Times New Roman" w:cs="Times New Roman"/>
          <w:lang w:val="en-US"/>
        </w:rPr>
        <w:t xml:space="preserve">Argomulyo </w:t>
      </w:r>
      <w:r w:rsidR="00E77FA8" w:rsidRPr="000E67DC">
        <w:rPr>
          <w:rFonts w:ascii="Times New Roman" w:eastAsia="Merriweather" w:hAnsi="Times New Roman" w:cs="Times New Roman"/>
          <w:iCs/>
          <w:lang w:val="en-US"/>
        </w:rPr>
        <w:t xml:space="preserve">and </w:t>
      </w:r>
      <w:r w:rsidR="00E77FA8" w:rsidRPr="000E67DC">
        <w:rPr>
          <w:rFonts w:ascii="Times New Roman" w:eastAsia="Merriweather" w:hAnsi="Times New Roman" w:cs="Times New Roman"/>
          <w:lang w:val="en-US"/>
        </w:rPr>
        <w:t xml:space="preserve">Anjasmoro </w:t>
      </w:r>
      <w:r w:rsidR="00E77FA8" w:rsidRPr="000E67DC">
        <w:rPr>
          <w:rFonts w:ascii="Times New Roman" w:eastAsia="Merriweather" w:hAnsi="Times New Roman" w:cs="Times New Roman"/>
          <w:iCs/>
          <w:lang w:val="en-US"/>
        </w:rPr>
        <w:t>(62.7 days),</w:t>
      </w:r>
      <w:r w:rsidR="00E77FA8">
        <w:rPr>
          <w:rFonts w:ascii="Times New Roman" w:eastAsia="Merriweather" w:hAnsi="Times New Roman" w:cs="Times New Roman"/>
          <w:iCs/>
          <w:lang w:val="en-US"/>
        </w:rPr>
        <w:t xml:space="preserve"> </w:t>
      </w:r>
      <w:r w:rsidR="00E77FA8" w:rsidRPr="000E67DC">
        <w:rPr>
          <w:rFonts w:ascii="Times New Roman" w:eastAsia="Merriweather" w:hAnsi="Times New Roman" w:cs="Times New Roman"/>
          <w:iCs/>
          <w:lang w:val="en-US"/>
        </w:rPr>
        <w:t>which have a longer reproductive period.</w:t>
      </w:r>
    </w:p>
    <w:p w14:paraId="6EB0EE89" w14:textId="77777777" w:rsidR="000E67DC" w:rsidRDefault="000E67DC" w:rsidP="000E67DC">
      <w:pPr>
        <w:spacing w:after="0" w:line="240" w:lineRule="auto"/>
        <w:ind w:firstLine="720"/>
        <w:jc w:val="both"/>
        <w:rPr>
          <w:rFonts w:ascii="Times New Roman" w:eastAsia="Merriweather" w:hAnsi="Times New Roman" w:cs="Times New Roman"/>
          <w:iCs/>
        </w:rPr>
      </w:pPr>
    </w:p>
    <w:p w14:paraId="10DA8C6F" w14:textId="77777777" w:rsidR="00E77FA8" w:rsidRPr="005C41E0" w:rsidRDefault="00E77FA8" w:rsidP="00E77FA8">
      <w:pPr>
        <w:spacing w:after="0" w:line="240" w:lineRule="auto"/>
        <w:rPr>
          <w:rFonts w:ascii="Times New Roman" w:hAnsi="Times New Roman" w:cs="Times New Roman"/>
          <w:b/>
          <w:bCs/>
          <w:sz w:val="20"/>
          <w:szCs w:val="20"/>
        </w:rPr>
      </w:pPr>
      <w:r w:rsidRPr="005C41E0">
        <w:rPr>
          <w:rFonts w:ascii="Times New Roman" w:hAnsi="Times New Roman" w:cs="Times New Roman"/>
          <w:b/>
          <w:sz w:val="20"/>
          <w:szCs w:val="20"/>
        </w:rPr>
        <w:t>Table 3.</w:t>
      </w:r>
      <w:r w:rsidRPr="005C41E0">
        <w:rPr>
          <w:rFonts w:ascii="Times New Roman" w:hAnsi="Times New Roman" w:cs="Times New Roman"/>
          <w:sz w:val="20"/>
          <w:szCs w:val="20"/>
        </w:rPr>
        <w:t xml:space="preserve"> </w:t>
      </w:r>
      <w:r w:rsidRPr="00A66F74">
        <w:rPr>
          <w:rFonts w:ascii="Times New Roman" w:hAnsi="Times New Roman" w:cs="Times New Roman"/>
          <w:noProof/>
          <w:sz w:val="20"/>
          <w:szCs w:val="20"/>
        </w:rPr>
        <w:t>The F-test results for yield components and yield of 20 soybean genotypes</w:t>
      </w:r>
    </w:p>
    <w:tbl>
      <w:tblPr>
        <w:tblStyle w:val="TableGrid"/>
        <w:tblW w:w="934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12"/>
        <w:gridCol w:w="814"/>
        <w:gridCol w:w="814"/>
        <w:gridCol w:w="814"/>
        <w:gridCol w:w="920"/>
        <w:gridCol w:w="920"/>
        <w:gridCol w:w="814"/>
        <w:gridCol w:w="814"/>
        <w:gridCol w:w="920"/>
        <w:gridCol w:w="816"/>
      </w:tblGrid>
      <w:tr w:rsidR="00E77FA8" w:rsidRPr="005C41E0" w14:paraId="7BB4DACB" w14:textId="77777777" w:rsidTr="004E316A">
        <w:tc>
          <w:tcPr>
            <w:tcW w:w="989" w:type="dxa"/>
            <w:tcBorders>
              <w:top w:val="single" w:sz="4" w:space="0" w:color="auto"/>
              <w:bottom w:val="single" w:sz="4" w:space="0" w:color="auto"/>
            </w:tcBorders>
            <w:vAlign w:val="center"/>
          </w:tcPr>
          <w:p w14:paraId="2B4A486E"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Source</w:t>
            </w:r>
          </w:p>
        </w:tc>
        <w:tc>
          <w:tcPr>
            <w:tcW w:w="712" w:type="dxa"/>
            <w:tcBorders>
              <w:top w:val="single" w:sz="4" w:space="0" w:color="auto"/>
              <w:bottom w:val="single" w:sz="4" w:space="0" w:color="auto"/>
            </w:tcBorders>
            <w:vAlign w:val="center"/>
          </w:tcPr>
          <w:p w14:paraId="5BC97016"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Df</w:t>
            </w:r>
          </w:p>
        </w:tc>
        <w:tc>
          <w:tcPr>
            <w:tcW w:w="0" w:type="auto"/>
            <w:tcBorders>
              <w:top w:val="single" w:sz="4" w:space="0" w:color="auto"/>
              <w:bottom w:val="single" w:sz="4" w:space="0" w:color="auto"/>
            </w:tcBorders>
            <w:vAlign w:val="center"/>
          </w:tcPr>
          <w:p w14:paraId="59DDEAC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PH</w:t>
            </w:r>
          </w:p>
        </w:tc>
        <w:tc>
          <w:tcPr>
            <w:tcW w:w="0" w:type="auto"/>
            <w:tcBorders>
              <w:top w:val="single" w:sz="4" w:space="0" w:color="auto"/>
              <w:bottom w:val="single" w:sz="4" w:space="0" w:color="auto"/>
            </w:tcBorders>
            <w:vAlign w:val="center"/>
          </w:tcPr>
          <w:p w14:paraId="3185F9D7"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WB</w:t>
            </w:r>
          </w:p>
        </w:tc>
        <w:tc>
          <w:tcPr>
            <w:tcW w:w="0" w:type="auto"/>
            <w:tcBorders>
              <w:top w:val="single" w:sz="4" w:space="0" w:color="auto"/>
              <w:bottom w:val="single" w:sz="4" w:space="0" w:color="auto"/>
            </w:tcBorders>
            <w:vAlign w:val="center"/>
          </w:tcPr>
          <w:p w14:paraId="7BCE837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W100</w:t>
            </w:r>
          </w:p>
        </w:tc>
        <w:tc>
          <w:tcPr>
            <w:tcW w:w="0" w:type="auto"/>
            <w:tcBorders>
              <w:top w:val="single" w:sz="4" w:space="0" w:color="auto"/>
              <w:bottom w:val="single" w:sz="4" w:space="0" w:color="auto"/>
            </w:tcBorders>
            <w:vAlign w:val="center"/>
          </w:tcPr>
          <w:p w14:paraId="3C978989"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WSP</w:t>
            </w:r>
          </w:p>
        </w:tc>
        <w:tc>
          <w:tcPr>
            <w:tcW w:w="0" w:type="auto"/>
            <w:tcBorders>
              <w:top w:val="single" w:sz="4" w:space="0" w:color="auto"/>
              <w:bottom w:val="single" w:sz="4" w:space="0" w:color="auto"/>
            </w:tcBorders>
            <w:vAlign w:val="center"/>
          </w:tcPr>
          <w:p w14:paraId="1C8423EA"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WST</w:t>
            </w:r>
          </w:p>
        </w:tc>
        <w:tc>
          <w:tcPr>
            <w:tcW w:w="0" w:type="auto"/>
            <w:tcBorders>
              <w:top w:val="single" w:sz="4" w:space="0" w:color="auto"/>
              <w:bottom w:val="single" w:sz="4" w:space="0" w:color="auto"/>
            </w:tcBorders>
            <w:vAlign w:val="center"/>
          </w:tcPr>
          <w:p w14:paraId="14628501"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SFP</w:t>
            </w:r>
          </w:p>
        </w:tc>
        <w:tc>
          <w:tcPr>
            <w:tcW w:w="0" w:type="auto"/>
            <w:tcBorders>
              <w:top w:val="single" w:sz="4" w:space="0" w:color="auto"/>
              <w:bottom w:val="single" w:sz="4" w:space="0" w:color="auto"/>
            </w:tcBorders>
            <w:vAlign w:val="center"/>
          </w:tcPr>
          <w:p w14:paraId="2295254C"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NSP</w:t>
            </w:r>
          </w:p>
        </w:tc>
        <w:tc>
          <w:tcPr>
            <w:tcW w:w="0" w:type="auto"/>
            <w:tcBorders>
              <w:top w:val="single" w:sz="4" w:space="0" w:color="auto"/>
              <w:bottom w:val="single" w:sz="4" w:space="0" w:color="auto"/>
            </w:tcBorders>
            <w:vAlign w:val="center"/>
          </w:tcPr>
          <w:p w14:paraId="4EC49559"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R1-R8</w:t>
            </w:r>
          </w:p>
        </w:tc>
        <w:tc>
          <w:tcPr>
            <w:tcW w:w="816" w:type="dxa"/>
            <w:tcBorders>
              <w:top w:val="single" w:sz="4" w:space="0" w:color="auto"/>
              <w:bottom w:val="single" w:sz="4" w:space="0" w:color="auto"/>
            </w:tcBorders>
            <w:vAlign w:val="center"/>
          </w:tcPr>
          <w:p w14:paraId="66A24EC5"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YIELD</w:t>
            </w:r>
          </w:p>
        </w:tc>
      </w:tr>
      <w:tr w:rsidR="00E77FA8" w:rsidRPr="005C41E0" w14:paraId="19E8449D" w14:textId="77777777" w:rsidTr="004E316A">
        <w:tc>
          <w:tcPr>
            <w:tcW w:w="989" w:type="dxa"/>
            <w:tcBorders>
              <w:top w:val="single" w:sz="4" w:space="0" w:color="auto"/>
            </w:tcBorders>
            <w:vAlign w:val="center"/>
          </w:tcPr>
          <w:p w14:paraId="643A87EB"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GEN</w:t>
            </w:r>
          </w:p>
        </w:tc>
        <w:tc>
          <w:tcPr>
            <w:tcW w:w="712" w:type="dxa"/>
            <w:tcBorders>
              <w:top w:val="single" w:sz="4" w:space="0" w:color="auto"/>
            </w:tcBorders>
            <w:vAlign w:val="center"/>
          </w:tcPr>
          <w:p w14:paraId="347D2B0C"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19</w:t>
            </w:r>
          </w:p>
        </w:tc>
        <w:tc>
          <w:tcPr>
            <w:tcW w:w="0" w:type="auto"/>
            <w:tcBorders>
              <w:top w:val="single" w:sz="4" w:space="0" w:color="auto"/>
            </w:tcBorders>
            <w:vAlign w:val="center"/>
          </w:tcPr>
          <w:p w14:paraId="40E93BA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19.7**</w:t>
            </w:r>
          </w:p>
        </w:tc>
        <w:tc>
          <w:tcPr>
            <w:tcW w:w="0" w:type="auto"/>
            <w:tcBorders>
              <w:top w:val="single" w:sz="4" w:space="0" w:color="auto"/>
            </w:tcBorders>
            <w:vAlign w:val="center"/>
          </w:tcPr>
          <w:p w14:paraId="4EA3779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14.0**</w:t>
            </w:r>
          </w:p>
        </w:tc>
        <w:tc>
          <w:tcPr>
            <w:tcW w:w="0" w:type="auto"/>
            <w:tcBorders>
              <w:top w:val="single" w:sz="4" w:space="0" w:color="auto"/>
            </w:tcBorders>
            <w:vAlign w:val="center"/>
          </w:tcPr>
          <w:p w14:paraId="703100CD"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72.1**</w:t>
            </w:r>
          </w:p>
        </w:tc>
        <w:tc>
          <w:tcPr>
            <w:tcW w:w="0" w:type="auto"/>
            <w:tcBorders>
              <w:top w:val="single" w:sz="4" w:space="0" w:color="auto"/>
            </w:tcBorders>
            <w:vAlign w:val="center"/>
          </w:tcPr>
          <w:p w14:paraId="22F8A3D9"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7.6**</w:t>
            </w:r>
          </w:p>
        </w:tc>
        <w:tc>
          <w:tcPr>
            <w:tcW w:w="0" w:type="auto"/>
            <w:tcBorders>
              <w:top w:val="single" w:sz="4" w:space="0" w:color="auto"/>
            </w:tcBorders>
            <w:vAlign w:val="center"/>
          </w:tcPr>
          <w:p w14:paraId="37B27A8C"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4.7**</w:t>
            </w:r>
          </w:p>
        </w:tc>
        <w:tc>
          <w:tcPr>
            <w:tcW w:w="0" w:type="auto"/>
            <w:tcBorders>
              <w:top w:val="single" w:sz="4" w:space="0" w:color="auto"/>
            </w:tcBorders>
            <w:vAlign w:val="center"/>
          </w:tcPr>
          <w:p w14:paraId="551427F9"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58.6**</w:t>
            </w:r>
          </w:p>
        </w:tc>
        <w:tc>
          <w:tcPr>
            <w:tcW w:w="0" w:type="auto"/>
            <w:tcBorders>
              <w:top w:val="single" w:sz="4" w:space="0" w:color="auto"/>
            </w:tcBorders>
            <w:vAlign w:val="center"/>
          </w:tcPr>
          <w:p w14:paraId="014E5081"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33.7**</w:t>
            </w:r>
          </w:p>
        </w:tc>
        <w:tc>
          <w:tcPr>
            <w:tcW w:w="0" w:type="auto"/>
            <w:tcBorders>
              <w:top w:val="single" w:sz="4" w:space="0" w:color="auto"/>
            </w:tcBorders>
            <w:vAlign w:val="center"/>
          </w:tcPr>
          <w:p w14:paraId="34731E8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3.1**</w:t>
            </w:r>
          </w:p>
        </w:tc>
        <w:tc>
          <w:tcPr>
            <w:tcW w:w="816" w:type="dxa"/>
            <w:tcBorders>
              <w:top w:val="single" w:sz="4" w:space="0" w:color="auto"/>
            </w:tcBorders>
            <w:vAlign w:val="center"/>
          </w:tcPr>
          <w:p w14:paraId="3F68288B"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8.6**</w:t>
            </w:r>
          </w:p>
        </w:tc>
      </w:tr>
      <w:tr w:rsidR="00E77FA8" w:rsidRPr="005C41E0" w14:paraId="283CD6C9" w14:textId="77777777" w:rsidTr="004E316A">
        <w:tc>
          <w:tcPr>
            <w:tcW w:w="989" w:type="dxa"/>
            <w:vAlign w:val="center"/>
          </w:tcPr>
          <w:p w14:paraId="7E9CEA3D"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REP</w:t>
            </w:r>
          </w:p>
        </w:tc>
        <w:tc>
          <w:tcPr>
            <w:tcW w:w="712" w:type="dxa"/>
            <w:vAlign w:val="center"/>
          </w:tcPr>
          <w:p w14:paraId="64D310A2"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2</w:t>
            </w:r>
          </w:p>
        </w:tc>
        <w:tc>
          <w:tcPr>
            <w:tcW w:w="0" w:type="auto"/>
            <w:vAlign w:val="center"/>
          </w:tcPr>
          <w:p w14:paraId="1031F50A"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17.6**</w:t>
            </w:r>
          </w:p>
        </w:tc>
        <w:tc>
          <w:tcPr>
            <w:tcW w:w="0" w:type="auto"/>
            <w:vAlign w:val="center"/>
          </w:tcPr>
          <w:p w14:paraId="67924078"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62.0**</w:t>
            </w:r>
          </w:p>
        </w:tc>
        <w:tc>
          <w:tcPr>
            <w:tcW w:w="0" w:type="auto"/>
            <w:vAlign w:val="center"/>
          </w:tcPr>
          <w:p w14:paraId="70C03281"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1.2</w:t>
            </w:r>
            <w:r w:rsidRPr="005C41E0">
              <w:rPr>
                <w:rFonts w:ascii="Times New Roman" w:hAnsi="Times New Roman" w:cs="Times New Roman"/>
                <w:sz w:val="20"/>
                <w:szCs w:val="20"/>
                <w:vertAlign w:val="superscript"/>
              </w:rPr>
              <w:t>ns</w:t>
            </w:r>
          </w:p>
        </w:tc>
        <w:tc>
          <w:tcPr>
            <w:tcW w:w="0" w:type="auto"/>
            <w:vAlign w:val="center"/>
          </w:tcPr>
          <w:p w14:paraId="185E62D2"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19.1**</w:t>
            </w:r>
          </w:p>
        </w:tc>
        <w:tc>
          <w:tcPr>
            <w:tcW w:w="0" w:type="auto"/>
            <w:vAlign w:val="center"/>
          </w:tcPr>
          <w:p w14:paraId="7801D1C0" w14:textId="77777777" w:rsidR="00E77FA8" w:rsidRPr="005C41E0" w:rsidRDefault="00E77FA8" w:rsidP="004E316A">
            <w:pPr>
              <w:jc w:val="center"/>
              <w:rPr>
                <w:rFonts w:ascii="Times New Roman" w:hAnsi="Times New Roman" w:cs="Times New Roman"/>
                <w:sz w:val="20"/>
                <w:szCs w:val="20"/>
                <w:vertAlign w:val="superscript"/>
              </w:rPr>
            </w:pPr>
            <w:r w:rsidRPr="005C41E0">
              <w:rPr>
                <w:rFonts w:ascii="Times New Roman" w:hAnsi="Times New Roman" w:cs="Times New Roman"/>
                <w:sz w:val="20"/>
                <w:szCs w:val="20"/>
              </w:rPr>
              <w:t>461.6**</w:t>
            </w:r>
          </w:p>
        </w:tc>
        <w:tc>
          <w:tcPr>
            <w:tcW w:w="0" w:type="auto"/>
            <w:vAlign w:val="center"/>
          </w:tcPr>
          <w:p w14:paraId="78D8AD2E" w14:textId="77777777" w:rsidR="00E77FA8" w:rsidRPr="005C41E0" w:rsidRDefault="00E77FA8" w:rsidP="004E316A">
            <w:pPr>
              <w:jc w:val="center"/>
              <w:rPr>
                <w:rFonts w:ascii="Times New Roman" w:hAnsi="Times New Roman" w:cs="Times New Roman"/>
                <w:sz w:val="20"/>
                <w:szCs w:val="20"/>
                <w:vertAlign w:val="superscript"/>
              </w:rPr>
            </w:pPr>
            <w:r w:rsidRPr="005C41E0">
              <w:rPr>
                <w:rFonts w:ascii="Times New Roman" w:hAnsi="Times New Roman" w:cs="Times New Roman"/>
                <w:sz w:val="20"/>
                <w:szCs w:val="20"/>
              </w:rPr>
              <w:t>99.6**</w:t>
            </w:r>
          </w:p>
        </w:tc>
        <w:tc>
          <w:tcPr>
            <w:tcW w:w="0" w:type="auto"/>
            <w:vAlign w:val="center"/>
          </w:tcPr>
          <w:p w14:paraId="2B78B66C" w14:textId="77777777" w:rsidR="00E77FA8" w:rsidRPr="005C41E0" w:rsidRDefault="00E77FA8" w:rsidP="004E316A">
            <w:pPr>
              <w:jc w:val="center"/>
              <w:rPr>
                <w:rFonts w:ascii="Times New Roman" w:hAnsi="Times New Roman" w:cs="Times New Roman"/>
                <w:sz w:val="20"/>
                <w:szCs w:val="20"/>
                <w:vertAlign w:val="superscript"/>
              </w:rPr>
            </w:pPr>
            <w:r w:rsidRPr="005C41E0">
              <w:rPr>
                <w:rFonts w:ascii="Times New Roman" w:hAnsi="Times New Roman" w:cs="Times New Roman"/>
                <w:sz w:val="20"/>
                <w:szCs w:val="20"/>
              </w:rPr>
              <w:t>2.6</w:t>
            </w:r>
            <w:r w:rsidRPr="005C41E0">
              <w:rPr>
                <w:rFonts w:ascii="Times New Roman" w:hAnsi="Times New Roman" w:cs="Times New Roman"/>
                <w:sz w:val="20"/>
                <w:szCs w:val="20"/>
                <w:vertAlign w:val="superscript"/>
              </w:rPr>
              <w:t>ns</w:t>
            </w:r>
          </w:p>
        </w:tc>
        <w:tc>
          <w:tcPr>
            <w:tcW w:w="0" w:type="auto"/>
            <w:vAlign w:val="center"/>
          </w:tcPr>
          <w:p w14:paraId="50FB18B0"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103.1**</w:t>
            </w:r>
          </w:p>
        </w:tc>
        <w:tc>
          <w:tcPr>
            <w:tcW w:w="816" w:type="dxa"/>
            <w:vAlign w:val="center"/>
          </w:tcPr>
          <w:p w14:paraId="4BEEEE68"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16.8**</w:t>
            </w:r>
          </w:p>
        </w:tc>
      </w:tr>
      <w:tr w:rsidR="00E77FA8" w:rsidRPr="005C41E0" w14:paraId="4A172D47" w14:textId="77777777" w:rsidTr="004E316A">
        <w:tc>
          <w:tcPr>
            <w:tcW w:w="989" w:type="dxa"/>
            <w:vAlign w:val="center"/>
          </w:tcPr>
          <w:p w14:paraId="4108B00A"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Residual</w:t>
            </w:r>
          </w:p>
        </w:tc>
        <w:tc>
          <w:tcPr>
            <w:tcW w:w="712" w:type="dxa"/>
            <w:vAlign w:val="center"/>
          </w:tcPr>
          <w:p w14:paraId="0556535E"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38</w:t>
            </w:r>
          </w:p>
        </w:tc>
        <w:tc>
          <w:tcPr>
            <w:tcW w:w="0" w:type="auto"/>
            <w:vAlign w:val="center"/>
          </w:tcPr>
          <w:p w14:paraId="5BC8E78E"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10.0</w:t>
            </w:r>
          </w:p>
        </w:tc>
        <w:tc>
          <w:tcPr>
            <w:tcW w:w="0" w:type="auto"/>
            <w:vAlign w:val="center"/>
          </w:tcPr>
          <w:p w14:paraId="45682B72"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0.02</w:t>
            </w:r>
          </w:p>
        </w:tc>
        <w:tc>
          <w:tcPr>
            <w:tcW w:w="0" w:type="auto"/>
            <w:vAlign w:val="center"/>
          </w:tcPr>
          <w:p w14:paraId="48578DBA"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0.88</w:t>
            </w:r>
          </w:p>
        </w:tc>
        <w:tc>
          <w:tcPr>
            <w:tcW w:w="0" w:type="auto"/>
            <w:vAlign w:val="center"/>
          </w:tcPr>
          <w:p w14:paraId="61E50630"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13916.6</w:t>
            </w:r>
          </w:p>
        </w:tc>
        <w:tc>
          <w:tcPr>
            <w:tcW w:w="0" w:type="auto"/>
            <w:vAlign w:val="center"/>
          </w:tcPr>
          <w:p w14:paraId="2A2B55AD"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0.009</w:t>
            </w:r>
          </w:p>
        </w:tc>
        <w:tc>
          <w:tcPr>
            <w:tcW w:w="0" w:type="auto"/>
            <w:vAlign w:val="center"/>
          </w:tcPr>
          <w:p w14:paraId="5B829973"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0.39</w:t>
            </w:r>
          </w:p>
        </w:tc>
        <w:tc>
          <w:tcPr>
            <w:tcW w:w="0" w:type="auto"/>
            <w:vAlign w:val="center"/>
          </w:tcPr>
          <w:p w14:paraId="3C45B52F"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122.9</w:t>
            </w:r>
          </w:p>
        </w:tc>
        <w:tc>
          <w:tcPr>
            <w:tcW w:w="0" w:type="auto"/>
            <w:vAlign w:val="center"/>
          </w:tcPr>
          <w:p w14:paraId="59448ED6"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0.36</w:t>
            </w:r>
          </w:p>
        </w:tc>
        <w:tc>
          <w:tcPr>
            <w:tcW w:w="816" w:type="dxa"/>
            <w:vAlign w:val="center"/>
          </w:tcPr>
          <w:p w14:paraId="36287B83"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0.01</w:t>
            </w:r>
          </w:p>
        </w:tc>
      </w:tr>
      <w:tr w:rsidR="00E77FA8" w:rsidRPr="005C41E0" w14:paraId="7C0FA3A3" w14:textId="77777777" w:rsidTr="004E316A">
        <w:tc>
          <w:tcPr>
            <w:tcW w:w="989" w:type="dxa"/>
            <w:vAlign w:val="center"/>
          </w:tcPr>
          <w:p w14:paraId="7630CAB7"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CV(%)</w:t>
            </w:r>
          </w:p>
        </w:tc>
        <w:tc>
          <w:tcPr>
            <w:tcW w:w="712" w:type="dxa"/>
            <w:vAlign w:val="center"/>
          </w:tcPr>
          <w:p w14:paraId="48DDCB16" w14:textId="77777777" w:rsidR="00E77FA8" w:rsidRPr="005C41E0" w:rsidRDefault="00E77FA8" w:rsidP="004E316A">
            <w:pPr>
              <w:jc w:val="center"/>
              <w:rPr>
                <w:rFonts w:ascii="Times New Roman" w:hAnsi="Times New Roman" w:cs="Times New Roman"/>
                <w:sz w:val="20"/>
                <w:szCs w:val="20"/>
              </w:rPr>
            </w:pPr>
          </w:p>
        </w:tc>
        <w:tc>
          <w:tcPr>
            <w:tcW w:w="0" w:type="auto"/>
            <w:vAlign w:val="center"/>
          </w:tcPr>
          <w:p w14:paraId="7FC4E786"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9.74</w:t>
            </w:r>
          </w:p>
        </w:tc>
        <w:tc>
          <w:tcPr>
            <w:tcW w:w="0" w:type="auto"/>
            <w:vAlign w:val="center"/>
          </w:tcPr>
          <w:p w14:paraId="3FF30C65"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15.65</w:t>
            </w:r>
          </w:p>
        </w:tc>
        <w:tc>
          <w:tcPr>
            <w:tcW w:w="0" w:type="auto"/>
            <w:vAlign w:val="center"/>
          </w:tcPr>
          <w:p w14:paraId="6A2F5D53"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5.69</w:t>
            </w:r>
          </w:p>
        </w:tc>
        <w:tc>
          <w:tcPr>
            <w:tcW w:w="0" w:type="auto"/>
            <w:vAlign w:val="center"/>
          </w:tcPr>
          <w:p w14:paraId="361C22CD"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19.18</w:t>
            </w:r>
          </w:p>
        </w:tc>
        <w:tc>
          <w:tcPr>
            <w:tcW w:w="0" w:type="auto"/>
            <w:vAlign w:val="center"/>
          </w:tcPr>
          <w:p w14:paraId="706FF0A8"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7.41</w:t>
            </w:r>
          </w:p>
        </w:tc>
        <w:tc>
          <w:tcPr>
            <w:tcW w:w="0" w:type="auto"/>
            <w:vAlign w:val="center"/>
          </w:tcPr>
          <w:p w14:paraId="1170433D"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2.57</w:t>
            </w:r>
          </w:p>
        </w:tc>
        <w:tc>
          <w:tcPr>
            <w:tcW w:w="0" w:type="auto"/>
            <w:vAlign w:val="center"/>
          </w:tcPr>
          <w:p w14:paraId="1AD02559"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13.98</w:t>
            </w:r>
          </w:p>
        </w:tc>
        <w:tc>
          <w:tcPr>
            <w:tcW w:w="0" w:type="auto"/>
            <w:vAlign w:val="center"/>
          </w:tcPr>
          <w:p w14:paraId="3E3584EC"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0.98</w:t>
            </w:r>
          </w:p>
        </w:tc>
        <w:tc>
          <w:tcPr>
            <w:tcW w:w="816" w:type="dxa"/>
            <w:vAlign w:val="center"/>
          </w:tcPr>
          <w:p w14:paraId="2639376A" w14:textId="77777777" w:rsidR="00E77FA8" w:rsidRPr="005C41E0" w:rsidRDefault="00E77FA8" w:rsidP="004E316A">
            <w:pPr>
              <w:jc w:val="center"/>
              <w:rPr>
                <w:rFonts w:ascii="Times New Roman" w:hAnsi="Times New Roman" w:cs="Times New Roman"/>
                <w:sz w:val="20"/>
                <w:szCs w:val="20"/>
              </w:rPr>
            </w:pPr>
            <w:r w:rsidRPr="005C41E0">
              <w:rPr>
                <w:rFonts w:ascii="Times New Roman" w:hAnsi="Times New Roman" w:cs="Times New Roman"/>
                <w:sz w:val="20"/>
                <w:szCs w:val="20"/>
              </w:rPr>
              <w:t>11.5</w:t>
            </w:r>
          </w:p>
        </w:tc>
      </w:tr>
    </w:tbl>
    <w:p w14:paraId="7F05A503" w14:textId="77777777" w:rsidR="00E77FA8" w:rsidRPr="005C41E0" w:rsidRDefault="00E77FA8" w:rsidP="00E77FA8">
      <w:pPr>
        <w:spacing w:after="0"/>
        <w:jc w:val="both"/>
        <w:rPr>
          <w:rFonts w:ascii="Times New Roman" w:hAnsi="Times New Roman" w:cs="Times New Roman"/>
          <w:noProof/>
          <w:sz w:val="18"/>
          <w:szCs w:val="18"/>
        </w:rPr>
      </w:pPr>
      <w:r w:rsidRPr="005C41E0">
        <w:rPr>
          <w:rFonts w:ascii="Times New Roman" w:hAnsi="Times New Roman" w:cs="Times New Roman"/>
          <w:noProof/>
          <w:sz w:val="18"/>
          <w:szCs w:val="18"/>
        </w:rPr>
        <w:t xml:space="preserve">Note: PH = Plant Height; WB = Weight of Biomass; W100 = Weight of 100 Seeds; WSP = Weight of Seed per Plot; WST; Weight of Seed per Plant; SFP = Seed Filling Periode; NSP = Number of Seed per Plant </w:t>
      </w:r>
    </w:p>
    <w:p w14:paraId="16986D96" w14:textId="77777777" w:rsidR="00E77FA8" w:rsidRPr="005C41E0" w:rsidRDefault="00E77FA8" w:rsidP="00E77FA8">
      <w:pPr>
        <w:spacing w:after="0" w:line="240" w:lineRule="auto"/>
        <w:jc w:val="both"/>
        <w:rPr>
          <w:rFonts w:ascii="Times New Roman" w:hAnsi="Times New Roman" w:cs="Times New Roman"/>
          <w:noProof/>
          <w:sz w:val="18"/>
          <w:szCs w:val="18"/>
        </w:rPr>
      </w:pPr>
      <w:r w:rsidRPr="005C41E0">
        <w:rPr>
          <w:rFonts w:ascii="Times New Roman" w:hAnsi="Times New Roman" w:cs="Times New Roman"/>
          <w:noProof/>
          <w:sz w:val="18"/>
          <w:szCs w:val="18"/>
        </w:rPr>
        <w:t xml:space="preserve">** = Significant at 5% probability level; </w:t>
      </w:r>
      <w:r w:rsidRPr="005C41E0">
        <w:rPr>
          <w:rFonts w:ascii="Times New Roman" w:hAnsi="Times New Roman" w:cs="Times New Roman"/>
          <w:noProof/>
          <w:sz w:val="18"/>
          <w:szCs w:val="18"/>
          <w:vertAlign w:val="superscript"/>
        </w:rPr>
        <w:t>ns</w:t>
      </w:r>
      <w:r w:rsidRPr="005C41E0">
        <w:rPr>
          <w:rFonts w:ascii="Times New Roman" w:hAnsi="Times New Roman" w:cs="Times New Roman"/>
          <w:noProof/>
          <w:sz w:val="18"/>
          <w:szCs w:val="18"/>
        </w:rPr>
        <w:t xml:space="preserve"> = non-significant</w:t>
      </w:r>
    </w:p>
    <w:p w14:paraId="70B0D2F4" w14:textId="77777777" w:rsidR="00E77FA8" w:rsidRPr="005C41E0" w:rsidRDefault="00E77FA8" w:rsidP="00E77FA8">
      <w:pPr>
        <w:spacing w:after="0" w:line="240" w:lineRule="auto"/>
        <w:jc w:val="both"/>
        <w:rPr>
          <w:rFonts w:ascii="Times New Roman" w:hAnsi="Times New Roman" w:cs="Times New Roman"/>
          <w:noProof/>
          <w:sz w:val="18"/>
          <w:szCs w:val="18"/>
        </w:rPr>
      </w:pPr>
    </w:p>
    <w:p w14:paraId="4FE8836B" w14:textId="757B1FCB" w:rsidR="000E67DC" w:rsidRPr="000E67DC" w:rsidRDefault="000E67DC" w:rsidP="000E67DC">
      <w:pPr>
        <w:spacing w:after="0" w:line="240" w:lineRule="auto"/>
        <w:ind w:firstLine="720"/>
        <w:jc w:val="both"/>
        <w:rPr>
          <w:rFonts w:ascii="Times New Roman" w:eastAsia="Merriweather" w:hAnsi="Times New Roman" w:cs="Times New Roman"/>
          <w:iCs/>
        </w:rPr>
        <w:sectPr w:rsidR="000E67DC" w:rsidRPr="000E67DC" w:rsidSect="00FF183A">
          <w:type w:val="continuous"/>
          <w:pgSz w:w="11907" w:h="16840"/>
          <w:pgMar w:top="1134" w:right="1134" w:bottom="1134" w:left="1418" w:header="907" w:footer="907" w:gutter="0"/>
          <w:cols w:space="576"/>
        </w:sectPr>
      </w:pPr>
    </w:p>
    <w:p w14:paraId="333A5BE7" w14:textId="38897CDD" w:rsidR="008C1B03" w:rsidRPr="00BF08F7" w:rsidRDefault="00106639" w:rsidP="00BF08F7">
      <w:pPr>
        <w:spacing w:after="0" w:line="240" w:lineRule="auto"/>
        <w:rPr>
          <w:rFonts w:ascii="Times New Roman" w:hAnsi="Times New Roman" w:cs="Times New Roman"/>
          <w:b/>
          <w:bCs/>
          <w:sz w:val="20"/>
          <w:szCs w:val="20"/>
        </w:rPr>
      </w:pPr>
      <w:r w:rsidRPr="00FA62AB">
        <w:rPr>
          <w:rFonts w:ascii="Times New Roman" w:eastAsia="Merriweather" w:hAnsi="Times New Roman" w:cs="Times New Roman"/>
          <w:b/>
          <w:bCs/>
          <w:iCs/>
          <w:sz w:val="20"/>
          <w:szCs w:val="20"/>
        </w:rPr>
        <w:t>Table 4.</w:t>
      </w:r>
      <w:r w:rsidRPr="005C41E0">
        <w:rPr>
          <w:rFonts w:ascii="Times New Roman" w:eastAsia="Merriweather" w:hAnsi="Times New Roman" w:cs="Times New Roman"/>
          <w:iCs/>
          <w:sz w:val="20"/>
          <w:szCs w:val="20"/>
        </w:rPr>
        <w:t xml:space="preserve"> Results of the </w:t>
      </w:r>
      <w:r w:rsidR="001074FD" w:rsidRPr="005C41E0">
        <w:rPr>
          <w:rFonts w:ascii="Times New Roman" w:eastAsia="Merriweather" w:hAnsi="Times New Roman" w:cs="Times New Roman"/>
          <w:iCs/>
          <w:sz w:val="20"/>
          <w:szCs w:val="20"/>
        </w:rPr>
        <w:t>Scott-Knott</w:t>
      </w:r>
      <w:r w:rsidRPr="005C41E0">
        <w:rPr>
          <w:rFonts w:ascii="Times New Roman" w:eastAsia="Merriweather" w:hAnsi="Times New Roman" w:cs="Times New Roman"/>
          <w:iCs/>
          <w:sz w:val="20"/>
          <w:szCs w:val="20"/>
        </w:rPr>
        <w:t xml:space="preserve"> Test on yield components and yield</w:t>
      </w:r>
      <w:r w:rsidR="00BF08F7">
        <w:rPr>
          <w:rFonts w:ascii="Times New Roman" w:eastAsia="Merriweather" w:hAnsi="Times New Roman" w:cs="Times New Roman"/>
          <w:iCs/>
          <w:sz w:val="20"/>
          <w:szCs w:val="20"/>
        </w:rPr>
        <w:t xml:space="preserve"> </w:t>
      </w:r>
      <w:r w:rsidR="00BF08F7" w:rsidRPr="00A66F74">
        <w:rPr>
          <w:rFonts w:ascii="Times New Roman" w:hAnsi="Times New Roman" w:cs="Times New Roman"/>
          <w:noProof/>
          <w:sz w:val="20"/>
          <w:szCs w:val="20"/>
        </w:rPr>
        <w:t>of 20 soybean genotypes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895"/>
        <w:gridCol w:w="789"/>
        <w:gridCol w:w="895"/>
        <w:gridCol w:w="1001"/>
        <w:gridCol w:w="775"/>
        <w:gridCol w:w="788"/>
        <w:gridCol w:w="881"/>
        <w:gridCol w:w="881"/>
        <w:gridCol w:w="870"/>
      </w:tblGrid>
      <w:tr w:rsidR="00C03187" w:rsidRPr="005C41E0" w14:paraId="0E35A9CD" w14:textId="40349399" w:rsidTr="005F357E">
        <w:tc>
          <w:tcPr>
            <w:tcW w:w="844" w:type="pct"/>
            <w:tcBorders>
              <w:top w:val="single" w:sz="4" w:space="0" w:color="auto"/>
              <w:bottom w:val="single" w:sz="4" w:space="0" w:color="auto"/>
            </w:tcBorders>
            <w:vAlign w:val="center"/>
          </w:tcPr>
          <w:p w14:paraId="07613CE1"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Genotype</w:t>
            </w:r>
          </w:p>
        </w:tc>
        <w:tc>
          <w:tcPr>
            <w:tcW w:w="478" w:type="pct"/>
            <w:tcBorders>
              <w:top w:val="single" w:sz="4" w:space="0" w:color="auto"/>
              <w:bottom w:val="single" w:sz="4" w:space="0" w:color="auto"/>
            </w:tcBorders>
            <w:vAlign w:val="center"/>
          </w:tcPr>
          <w:p w14:paraId="38693EB5"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PH</w:t>
            </w:r>
          </w:p>
        </w:tc>
        <w:tc>
          <w:tcPr>
            <w:tcW w:w="421" w:type="pct"/>
            <w:tcBorders>
              <w:top w:val="single" w:sz="4" w:space="0" w:color="auto"/>
              <w:bottom w:val="single" w:sz="4" w:space="0" w:color="auto"/>
            </w:tcBorders>
            <w:vAlign w:val="center"/>
          </w:tcPr>
          <w:p w14:paraId="38977DB8"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WB</w:t>
            </w:r>
          </w:p>
        </w:tc>
        <w:tc>
          <w:tcPr>
            <w:tcW w:w="478" w:type="pct"/>
            <w:tcBorders>
              <w:top w:val="single" w:sz="4" w:space="0" w:color="auto"/>
              <w:bottom w:val="single" w:sz="4" w:space="0" w:color="auto"/>
            </w:tcBorders>
            <w:vAlign w:val="center"/>
          </w:tcPr>
          <w:p w14:paraId="26BEDF20"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W100</w:t>
            </w:r>
          </w:p>
        </w:tc>
        <w:tc>
          <w:tcPr>
            <w:tcW w:w="535" w:type="pct"/>
            <w:tcBorders>
              <w:top w:val="single" w:sz="4" w:space="0" w:color="auto"/>
              <w:bottom w:val="single" w:sz="4" w:space="0" w:color="auto"/>
            </w:tcBorders>
            <w:vAlign w:val="center"/>
          </w:tcPr>
          <w:p w14:paraId="730C9AB4" w14:textId="7A31C5C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NSP</w:t>
            </w:r>
          </w:p>
        </w:tc>
        <w:tc>
          <w:tcPr>
            <w:tcW w:w="414" w:type="pct"/>
            <w:tcBorders>
              <w:top w:val="single" w:sz="4" w:space="0" w:color="auto"/>
              <w:bottom w:val="single" w:sz="4" w:space="0" w:color="auto"/>
            </w:tcBorders>
            <w:vAlign w:val="center"/>
          </w:tcPr>
          <w:p w14:paraId="416FDA2C" w14:textId="11F07B8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WST</w:t>
            </w:r>
          </w:p>
        </w:tc>
        <w:tc>
          <w:tcPr>
            <w:tcW w:w="421" w:type="pct"/>
            <w:tcBorders>
              <w:top w:val="single" w:sz="4" w:space="0" w:color="auto"/>
              <w:bottom w:val="single" w:sz="4" w:space="0" w:color="auto"/>
            </w:tcBorders>
            <w:vAlign w:val="center"/>
          </w:tcPr>
          <w:p w14:paraId="03829BF4" w14:textId="3A7BFB9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WSP</w:t>
            </w:r>
          </w:p>
        </w:tc>
        <w:tc>
          <w:tcPr>
            <w:tcW w:w="471" w:type="pct"/>
            <w:tcBorders>
              <w:top w:val="single" w:sz="4" w:space="0" w:color="auto"/>
              <w:bottom w:val="single" w:sz="4" w:space="0" w:color="auto"/>
            </w:tcBorders>
            <w:vAlign w:val="center"/>
          </w:tcPr>
          <w:p w14:paraId="44A5A480"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SFP</w:t>
            </w:r>
          </w:p>
        </w:tc>
        <w:tc>
          <w:tcPr>
            <w:tcW w:w="471" w:type="pct"/>
            <w:tcBorders>
              <w:top w:val="single" w:sz="4" w:space="0" w:color="auto"/>
              <w:bottom w:val="single" w:sz="4" w:space="0" w:color="auto"/>
            </w:tcBorders>
            <w:vAlign w:val="center"/>
          </w:tcPr>
          <w:p w14:paraId="42A42C10"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R1-R8</w:t>
            </w:r>
          </w:p>
        </w:tc>
        <w:tc>
          <w:tcPr>
            <w:tcW w:w="465" w:type="pct"/>
            <w:tcBorders>
              <w:top w:val="single" w:sz="4" w:space="0" w:color="auto"/>
              <w:bottom w:val="single" w:sz="4" w:space="0" w:color="auto"/>
            </w:tcBorders>
            <w:vAlign w:val="center"/>
          </w:tcPr>
          <w:p w14:paraId="3C0F3757" w14:textId="4D4DD49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eastAsia="Merriweather" w:hAnsi="Times New Roman" w:cs="Times New Roman"/>
                <w:iCs/>
                <w:sz w:val="20"/>
                <w:szCs w:val="20"/>
              </w:rPr>
              <w:t>YIELD</w:t>
            </w:r>
          </w:p>
        </w:tc>
      </w:tr>
      <w:tr w:rsidR="00C03187" w:rsidRPr="005C41E0" w14:paraId="6E891D8D" w14:textId="2ECAC785" w:rsidTr="005F357E">
        <w:tc>
          <w:tcPr>
            <w:tcW w:w="844" w:type="pct"/>
            <w:tcBorders>
              <w:top w:val="single" w:sz="4" w:space="0" w:color="auto"/>
            </w:tcBorders>
            <w:vAlign w:val="center"/>
          </w:tcPr>
          <w:p w14:paraId="3BBFD213"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Argomulyo</w:t>
            </w:r>
          </w:p>
        </w:tc>
        <w:tc>
          <w:tcPr>
            <w:tcW w:w="478" w:type="pct"/>
            <w:tcBorders>
              <w:top w:val="single" w:sz="4" w:space="0" w:color="auto"/>
            </w:tcBorders>
            <w:shd w:val="clear" w:color="auto" w:fill="auto"/>
            <w:vAlign w:val="center"/>
          </w:tcPr>
          <w:p w14:paraId="48EAEA02" w14:textId="1C572A3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37.42 c</w:t>
            </w:r>
          </w:p>
        </w:tc>
        <w:tc>
          <w:tcPr>
            <w:tcW w:w="421" w:type="pct"/>
            <w:tcBorders>
              <w:top w:val="single" w:sz="4" w:space="0" w:color="auto"/>
            </w:tcBorders>
            <w:shd w:val="clear" w:color="auto" w:fill="auto"/>
            <w:vAlign w:val="center"/>
          </w:tcPr>
          <w:p w14:paraId="77203706" w14:textId="7BCF5C9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0.82 c</w:t>
            </w:r>
          </w:p>
        </w:tc>
        <w:tc>
          <w:tcPr>
            <w:tcW w:w="478" w:type="pct"/>
            <w:tcBorders>
              <w:top w:val="single" w:sz="4" w:space="0" w:color="auto"/>
            </w:tcBorders>
            <w:shd w:val="clear" w:color="auto" w:fill="auto"/>
            <w:vAlign w:val="center"/>
          </w:tcPr>
          <w:p w14:paraId="29EBDB64" w14:textId="70C67A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18.62 c</w:t>
            </w:r>
          </w:p>
        </w:tc>
        <w:tc>
          <w:tcPr>
            <w:tcW w:w="535" w:type="pct"/>
            <w:tcBorders>
              <w:top w:val="single" w:sz="4" w:space="0" w:color="auto"/>
            </w:tcBorders>
            <w:vAlign w:val="center"/>
          </w:tcPr>
          <w:p w14:paraId="6CA9A0D5" w14:textId="2B96A07C"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49.56 a</w:t>
            </w:r>
          </w:p>
        </w:tc>
        <w:tc>
          <w:tcPr>
            <w:tcW w:w="414" w:type="pct"/>
            <w:tcBorders>
              <w:top w:val="single" w:sz="4" w:space="0" w:color="auto"/>
            </w:tcBorders>
            <w:vAlign w:val="center"/>
          </w:tcPr>
          <w:p w14:paraId="708CD2E3" w14:textId="33990E1A"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1.19 a</w:t>
            </w:r>
          </w:p>
        </w:tc>
        <w:tc>
          <w:tcPr>
            <w:tcW w:w="421" w:type="pct"/>
            <w:tcBorders>
              <w:top w:val="single" w:sz="4" w:space="0" w:color="auto"/>
            </w:tcBorders>
            <w:shd w:val="clear" w:color="auto" w:fill="auto"/>
            <w:vAlign w:val="center"/>
          </w:tcPr>
          <w:p w14:paraId="584C48B1" w14:textId="7B11AFA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0.71 d</w:t>
            </w:r>
          </w:p>
        </w:tc>
        <w:tc>
          <w:tcPr>
            <w:tcW w:w="471" w:type="pct"/>
            <w:tcBorders>
              <w:top w:val="single" w:sz="4" w:space="0" w:color="auto"/>
            </w:tcBorders>
            <w:vAlign w:val="center"/>
          </w:tcPr>
          <w:p w14:paraId="018DA571" w14:textId="5BE6EE5F"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20.33 a</w:t>
            </w:r>
          </w:p>
        </w:tc>
        <w:tc>
          <w:tcPr>
            <w:tcW w:w="471" w:type="pct"/>
            <w:tcBorders>
              <w:top w:val="single" w:sz="4" w:space="0" w:color="auto"/>
            </w:tcBorders>
            <w:vAlign w:val="center"/>
          </w:tcPr>
          <w:p w14:paraId="3FDEC064" w14:textId="09F4EEC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62.67 b</w:t>
            </w:r>
          </w:p>
        </w:tc>
        <w:tc>
          <w:tcPr>
            <w:tcW w:w="465" w:type="pct"/>
            <w:tcBorders>
              <w:top w:val="single" w:sz="4" w:space="0" w:color="auto"/>
            </w:tcBorders>
            <w:vAlign w:val="center"/>
          </w:tcPr>
          <w:p w14:paraId="3454F4A9" w14:textId="0D8166D9"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1.07 d</w:t>
            </w:r>
          </w:p>
        </w:tc>
      </w:tr>
      <w:tr w:rsidR="00C03187" w:rsidRPr="005C41E0" w14:paraId="14E88D62" w14:textId="3A3ACBD7" w:rsidTr="005F357E">
        <w:tc>
          <w:tcPr>
            <w:tcW w:w="844" w:type="pct"/>
            <w:vAlign w:val="center"/>
          </w:tcPr>
          <w:p w14:paraId="1D3F8CE8"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Anjasmoro</w:t>
            </w:r>
          </w:p>
        </w:tc>
        <w:tc>
          <w:tcPr>
            <w:tcW w:w="478" w:type="pct"/>
            <w:shd w:val="clear" w:color="auto" w:fill="auto"/>
            <w:vAlign w:val="center"/>
          </w:tcPr>
          <w:p w14:paraId="2A0D5C4D" w14:textId="56FA633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26.56 b</w:t>
            </w:r>
          </w:p>
        </w:tc>
        <w:tc>
          <w:tcPr>
            <w:tcW w:w="421" w:type="pct"/>
            <w:shd w:val="clear" w:color="auto" w:fill="auto"/>
            <w:vAlign w:val="center"/>
          </w:tcPr>
          <w:p w14:paraId="5D9ABC67" w14:textId="62528C8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0.62 b</w:t>
            </w:r>
          </w:p>
        </w:tc>
        <w:tc>
          <w:tcPr>
            <w:tcW w:w="478" w:type="pct"/>
            <w:shd w:val="clear" w:color="auto" w:fill="auto"/>
            <w:vAlign w:val="center"/>
          </w:tcPr>
          <w:p w14:paraId="143AB1BC" w14:textId="050BB4DF"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23.67 d</w:t>
            </w:r>
          </w:p>
        </w:tc>
        <w:tc>
          <w:tcPr>
            <w:tcW w:w="535" w:type="pct"/>
            <w:vAlign w:val="center"/>
          </w:tcPr>
          <w:p w14:paraId="0C8EFF8A" w14:textId="6B93E02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37.02 a</w:t>
            </w:r>
          </w:p>
        </w:tc>
        <w:tc>
          <w:tcPr>
            <w:tcW w:w="414" w:type="pct"/>
            <w:vAlign w:val="center"/>
          </w:tcPr>
          <w:p w14:paraId="7984C6D4" w14:textId="22DEB4C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1.21 a</w:t>
            </w:r>
          </w:p>
        </w:tc>
        <w:tc>
          <w:tcPr>
            <w:tcW w:w="421" w:type="pct"/>
            <w:shd w:val="clear" w:color="auto" w:fill="auto"/>
            <w:vAlign w:val="center"/>
          </w:tcPr>
          <w:p w14:paraId="2AC12582" w14:textId="65834F4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0.41 b</w:t>
            </w:r>
          </w:p>
        </w:tc>
        <w:tc>
          <w:tcPr>
            <w:tcW w:w="471" w:type="pct"/>
            <w:vAlign w:val="center"/>
          </w:tcPr>
          <w:p w14:paraId="4EC8A625" w14:textId="323EDEB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19.81 a</w:t>
            </w:r>
          </w:p>
        </w:tc>
        <w:tc>
          <w:tcPr>
            <w:tcW w:w="471" w:type="pct"/>
            <w:vAlign w:val="center"/>
          </w:tcPr>
          <w:p w14:paraId="063567CE" w14:textId="1F0F84C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62.67 b</w:t>
            </w:r>
          </w:p>
        </w:tc>
        <w:tc>
          <w:tcPr>
            <w:tcW w:w="465" w:type="pct"/>
            <w:vAlign w:val="center"/>
          </w:tcPr>
          <w:p w14:paraId="7CAAC5C7" w14:textId="385343B0"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0.81 c</w:t>
            </w:r>
          </w:p>
        </w:tc>
      </w:tr>
      <w:tr w:rsidR="00C03187" w:rsidRPr="005C41E0" w14:paraId="48F9BCCE" w14:textId="3E7258DB" w:rsidTr="005F357E">
        <w:tc>
          <w:tcPr>
            <w:tcW w:w="844" w:type="pct"/>
            <w:vAlign w:val="center"/>
          </w:tcPr>
          <w:p w14:paraId="388494E3"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Biosoy</w:t>
            </w:r>
          </w:p>
        </w:tc>
        <w:tc>
          <w:tcPr>
            <w:tcW w:w="478" w:type="pct"/>
            <w:shd w:val="clear" w:color="auto" w:fill="auto"/>
            <w:vAlign w:val="center"/>
          </w:tcPr>
          <w:p w14:paraId="5150895A" w14:textId="614D016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22.92 a</w:t>
            </w:r>
          </w:p>
        </w:tc>
        <w:tc>
          <w:tcPr>
            <w:tcW w:w="421" w:type="pct"/>
            <w:shd w:val="clear" w:color="auto" w:fill="auto"/>
            <w:vAlign w:val="center"/>
          </w:tcPr>
          <w:p w14:paraId="19B22713" w14:textId="06A1EFA3"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0.66 b</w:t>
            </w:r>
          </w:p>
        </w:tc>
        <w:tc>
          <w:tcPr>
            <w:tcW w:w="478" w:type="pct"/>
            <w:shd w:val="clear" w:color="auto" w:fill="auto"/>
            <w:vAlign w:val="center"/>
          </w:tcPr>
          <w:p w14:paraId="6291D486" w14:textId="3932298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24.80 d</w:t>
            </w:r>
          </w:p>
        </w:tc>
        <w:tc>
          <w:tcPr>
            <w:tcW w:w="535" w:type="pct"/>
            <w:vAlign w:val="center"/>
          </w:tcPr>
          <w:p w14:paraId="1A47C571" w14:textId="26A8CEC2"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65.78 b</w:t>
            </w:r>
          </w:p>
        </w:tc>
        <w:tc>
          <w:tcPr>
            <w:tcW w:w="414" w:type="pct"/>
            <w:vAlign w:val="center"/>
          </w:tcPr>
          <w:p w14:paraId="4ACD489A" w14:textId="58C15E47"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1.42 b</w:t>
            </w:r>
          </w:p>
        </w:tc>
        <w:tc>
          <w:tcPr>
            <w:tcW w:w="421" w:type="pct"/>
            <w:shd w:val="clear" w:color="auto" w:fill="auto"/>
            <w:vAlign w:val="center"/>
          </w:tcPr>
          <w:p w14:paraId="0F93039B" w14:textId="75CCBF2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0.57 c</w:t>
            </w:r>
          </w:p>
        </w:tc>
        <w:tc>
          <w:tcPr>
            <w:tcW w:w="471" w:type="pct"/>
            <w:vAlign w:val="center"/>
          </w:tcPr>
          <w:p w14:paraId="15FE0C81" w14:textId="05777B9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19.31 a</w:t>
            </w:r>
          </w:p>
        </w:tc>
        <w:tc>
          <w:tcPr>
            <w:tcW w:w="471" w:type="pct"/>
            <w:vAlign w:val="center"/>
          </w:tcPr>
          <w:p w14:paraId="011A4E6F" w14:textId="364F489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62.33 b</w:t>
            </w:r>
          </w:p>
        </w:tc>
        <w:tc>
          <w:tcPr>
            <w:tcW w:w="465" w:type="pct"/>
            <w:vAlign w:val="center"/>
          </w:tcPr>
          <w:p w14:paraId="43C7A33F" w14:textId="6D587AE5"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0.90 c</w:t>
            </w:r>
          </w:p>
        </w:tc>
      </w:tr>
      <w:tr w:rsidR="00C03187" w:rsidRPr="005C41E0" w14:paraId="620DDB5D" w14:textId="5CCE91FC" w:rsidTr="005F357E">
        <w:tc>
          <w:tcPr>
            <w:tcW w:w="844" w:type="pct"/>
            <w:vAlign w:val="center"/>
          </w:tcPr>
          <w:p w14:paraId="2FCCF5EA"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Dega 1</w:t>
            </w:r>
          </w:p>
        </w:tc>
        <w:tc>
          <w:tcPr>
            <w:tcW w:w="478" w:type="pct"/>
            <w:shd w:val="clear" w:color="auto" w:fill="auto"/>
            <w:vAlign w:val="center"/>
          </w:tcPr>
          <w:p w14:paraId="6502EBFF" w14:textId="623B75C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27.09 b</w:t>
            </w:r>
          </w:p>
        </w:tc>
        <w:tc>
          <w:tcPr>
            <w:tcW w:w="421" w:type="pct"/>
            <w:shd w:val="clear" w:color="auto" w:fill="auto"/>
            <w:vAlign w:val="center"/>
          </w:tcPr>
          <w:p w14:paraId="3C24753F" w14:textId="02CF80B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0.77 b</w:t>
            </w:r>
          </w:p>
        </w:tc>
        <w:tc>
          <w:tcPr>
            <w:tcW w:w="478" w:type="pct"/>
            <w:shd w:val="clear" w:color="auto" w:fill="auto"/>
            <w:vAlign w:val="center"/>
          </w:tcPr>
          <w:p w14:paraId="5DB2C308" w14:textId="783C7C3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22.65 d</w:t>
            </w:r>
          </w:p>
        </w:tc>
        <w:tc>
          <w:tcPr>
            <w:tcW w:w="535" w:type="pct"/>
            <w:vAlign w:val="center"/>
          </w:tcPr>
          <w:p w14:paraId="76176410" w14:textId="5A864270"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42.17 a</w:t>
            </w:r>
          </w:p>
        </w:tc>
        <w:tc>
          <w:tcPr>
            <w:tcW w:w="414" w:type="pct"/>
            <w:vAlign w:val="center"/>
          </w:tcPr>
          <w:p w14:paraId="4F4DFF96" w14:textId="61286633"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1.22 a</w:t>
            </w:r>
          </w:p>
        </w:tc>
        <w:tc>
          <w:tcPr>
            <w:tcW w:w="421" w:type="pct"/>
            <w:shd w:val="clear" w:color="auto" w:fill="auto"/>
            <w:vAlign w:val="center"/>
          </w:tcPr>
          <w:p w14:paraId="2DF0FF3F" w14:textId="4067204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0.64 c</w:t>
            </w:r>
          </w:p>
        </w:tc>
        <w:tc>
          <w:tcPr>
            <w:tcW w:w="471" w:type="pct"/>
            <w:vAlign w:val="center"/>
          </w:tcPr>
          <w:p w14:paraId="117CD899" w14:textId="19E681E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19.81 a</w:t>
            </w:r>
          </w:p>
        </w:tc>
        <w:tc>
          <w:tcPr>
            <w:tcW w:w="471" w:type="pct"/>
            <w:vAlign w:val="center"/>
          </w:tcPr>
          <w:p w14:paraId="52A2E0BF" w14:textId="3ADFFDB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62.33 b</w:t>
            </w:r>
          </w:p>
        </w:tc>
        <w:tc>
          <w:tcPr>
            <w:tcW w:w="465" w:type="pct"/>
            <w:vAlign w:val="center"/>
          </w:tcPr>
          <w:p w14:paraId="7BC3522D" w14:textId="766F99BA"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0.90 c</w:t>
            </w:r>
          </w:p>
        </w:tc>
      </w:tr>
      <w:tr w:rsidR="00C03187" w:rsidRPr="005C41E0" w14:paraId="7942D937" w14:textId="0F347C31" w:rsidTr="005F357E">
        <w:tc>
          <w:tcPr>
            <w:tcW w:w="844" w:type="pct"/>
            <w:vAlign w:val="center"/>
          </w:tcPr>
          <w:p w14:paraId="48A55879"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Deja 1</w:t>
            </w:r>
          </w:p>
        </w:tc>
        <w:tc>
          <w:tcPr>
            <w:tcW w:w="478" w:type="pct"/>
            <w:shd w:val="clear" w:color="auto" w:fill="auto"/>
            <w:vAlign w:val="center"/>
          </w:tcPr>
          <w:p w14:paraId="0A40040F" w14:textId="21B1317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47.17 e</w:t>
            </w:r>
          </w:p>
        </w:tc>
        <w:tc>
          <w:tcPr>
            <w:tcW w:w="421" w:type="pct"/>
            <w:shd w:val="clear" w:color="auto" w:fill="auto"/>
            <w:vAlign w:val="center"/>
          </w:tcPr>
          <w:p w14:paraId="54E86EB7" w14:textId="774D838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1.11 d</w:t>
            </w:r>
          </w:p>
        </w:tc>
        <w:tc>
          <w:tcPr>
            <w:tcW w:w="478" w:type="pct"/>
            <w:shd w:val="clear" w:color="auto" w:fill="auto"/>
            <w:vAlign w:val="center"/>
          </w:tcPr>
          <w:p w14:paraId="73EC5651" w14:textId="2302138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16.06 b</w:t>
            </w:r>
          </w:p>
        </w:tc>
        <w:tc>
          <w:tcPr>
            <w:tcW w:w="535" w:type="pct"/>
            <w:vAlign w:val="center"/>
          </w:tcPr>
          <w:p w14:paraId="51EC9DEC" w14:textId="4EBAEEAF"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91.94 d</w:t>
            </w:r>
          </w:p>
        </w:tc>
        <w:tc>
          <w:tcPr>
            <w:tcW w:w="414" w:type="pct"/>
            <w:vAlign w:val="center"/>
          </w:tcPr>
          <w:p w14:paraId="4F9C8CEA" w14:textId="3EF97B0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1.46 b</w:t>
            </w:r>
          </w:p>
        </w:tc>
        <w:tc>
          <w:tcPr>
            <w:tcW w:w="421" w:type="pct"/>
            <w:shd w:val="clear" w:color="auto" w:fill="auto"/>
            <w:vAlign w:val="center"/>
          </w:tcPr>
          <w:p w14:paraId="4CB85A96" w14:textId="7E52F56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0.99 e</w:t>
            </w:r>
          </w:p>
        </w:tc>
        <w:tc>
          <w:tcPr>
            <w:tcW w:w="471" w:type="pct"/>
            <w:vAlign w:val="center"/>
          </w:tcPr>
          <w:p w14:paraId="5777FB64" w14:textId="4C9D41D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1E00E294" w14:textId="2367B66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61.00 a</w:t>
            </w:r>
          </w:p>
        </w:tc>
        <w:tc>
          <w:tcPr>
            <w:tcW w:w="465" w:type="pct"/>
            <w:vAlign w:val="center"/>
          </w:tcPr>
          <w:p w14:paraId="6B8D1061" w14:textId="32695C33"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1.31 d</w:t>
            </w:r>
          </w:p>
        </w:tc>
      </w:tr>
      <w:tr w:rsidR="00C03187" w:rsidRPr="005C41E0" w14:paraId="62FAC469" w14:textId="1DBA5C5D" w:rsidTr="005F357E">
        <w:tc>
          <w:tcPr>
            <w:tcW w:w="844" w:type="pct"/>
            <w:vAlign w:val="center"/>
          </w:tcPr>
          <w:p w14:paraId="1494155C"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Deja 2</w:t>
            </w:r>
          </w:p>
        </w:tc>
        <w:tc>
          <w:tcPr>
            <w:tcW w:w="478" w:type="pct"/>
            <w:shd w:val="clear" w:color="auto" w:fill="auto"/>
            <w:vAlign w:val="center"/>
          </w:tcPr>
          <w:p w14:paraId="10042000" w14:textId="25C257B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41.05 d</w:t>
            </w:r>
          </w:p>
        </w:tc>
        <w:tc>
          <w:tcPr>
            <w:tcW w:w="421" w:type="pct"/>
            <w:shd w:val="clear" w:color="auto" w:fill="auto"/>
            <w:vAlign w:val="center"/>
          </w:tcPr>
          <w:p w14:paraId="094C4E9C" w14:textId="60D4A9D3"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1.19 d</w:t>
            </w:r>
          </w:p>
        </w:tc>
        <w:tc>
          <w:tcPr>
            <w:tcW w:w="478" w:type="pct"/>
            <w:shd w:val="clear" w:color="auto" w:fill="auto"/>
            <w:vAlign w:val="center"/>
          </w:tcPr>
          <w:p w14:paraId="4F706966" w14:textId="3E5CFDD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15.91 b</w:t>
            </w:r>
          </w:p>
        </w:tc>
        <w:tc>
          <w:tcPr>
            <w:tcW w:w="535" w:type="pct"/>
            <w:vAlign w:val="center"/>
          </w:tcPr>
          <w:p w14:paraId="48E02051" w14:textId="2A0E7402"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71.83 c</w:t>
            </w:r>
          </w:p>
        </w:tc>
        <w:tc>
          <w:tcPr>
            <w:tcW w:w="414" w:type="pct"/>
            <w:vAlign w:val="center"/>
          </w:tcPr>
          <w:p w14:paraId="205552FE" w14:textId="00544EF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1.32 a</w:t>
            </w:r>
          </w:p>
        </w:tc>
        <w:tc>
          <w:tcPr>
            <w:tcW w:w="421" w:type="pct"/>
            <w:shd w:val="clear" w:color="auto" w:fill="auto"/>
            <w:vAlign w:val="center"/>
          </w:tcPr>
          <w:p w14:paraId="268846C6" w14:textId="43D6BE7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0.81 d</w:t>
            </w:r>
          </w:p>
        </w:tc>
        <w:tc>
          <w:tcPr>
            <w:tcW w:w="471" w:type="pct"/>
            <w:vAlign w:val="center"/>
          </w:tcPr>
          <w:p w14:paraId="550FCFCD" w14:textId="13E32F6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27.00 b</w:t>
            </w:r>
          </w:p>
        </w:tc>
        <w:tc>
          <w:tcPr>
            <w:tcW w:w="471" w:type="pct"/>
            <w:vAlign w:val="center"/>
          </w:tcPr>
          <w:p w14:paraId="5B47D808" w14:textId="566B2B2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62.00 b</w:t>
            </w:r>
          </w:p>
        </w:tc>
        <w:tc>
          <w:tcPr>
            <w:tcW w:w="465" w:type="pct"/>
            <w:vAlign w:val="center"/>
          </w:tcPr>
          <w:p w14:paraId="117630D5" w14:textId="0F02CC19"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1.14 d</w:t>
            </w:r>
          </w:p>
        </w:tc>
      </w:tr>
      <w:tr w:rsidR="00C03187" w:rsidRPr="005C41E0" w14:paraId="6F0CE304" w14:textId="7E3C1512" w:rsidTr="005F357E">
        <w:tc>
          <w:tcPr>
            <w:tcW w:w="844" w:type="pct"/>
            <w:vAlign w:val="center"/>
          </w:tcPr>
          <w:p w14:paraId="494DDB5E"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Gepak kuning</w:t>
            </w:r>
          </w:p>
        </w:tc>
        <w:tc>
          <w:tcPr>
            <w:tcW w:w="478" w:type="pct"/>
            <w:shd w:val="clear" w:color="auto" w:fill="auto"/>
            <w:vAlign w:val="center"/>
          </w:tcPr>
          <w:p w14:paraId="4AE57C37" w14:textId="219440C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36.78 c</w:t>
            </w:r>
          </w:p>
        </w:tc>
        <w:tc>
          <w:tcPr>
            <w:tcW w:w="421" w:type="pct"/>
            <w:shd w:val="clear" w:color="auto" w:fill="auto"/>
            <w:vAlign w:val="center"/>
          </w:tcPr>
          <w:p w14:paraId="60DB265E" w14:textId="494D723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0.89 c</w:t>
            </w:r>
          </w:p>
        </w:tc>
        <w:tc>
          <w:tcPr>
            <w:tcW w:w="478" w:type="pct"/>
            <w:shd w:val="clear" w:color="auto" w:fill="auto"/>
            <w:vAlign w:val="center"/>
          </w:tcPr>
          <w:p w14:paraId="525BBC90"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10.06 a</w:t>
            </w:r>
          </w:p>
        </w:tc>
        <w:tc>
          <w:tcPr>
            <w:tcW w:w="535" w:type="pct"/>
            <w:vAlign w:val="center"/>
          </w:tcPr>
          <w:p w14:paraId="385D8ADC" w14:textId="1DCA0286"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103.60 d</w:t>
            </w:r>
          </w:p>
        </w:tc>
        <w:tc>
          <w:tcPr>
            <w:tcW w:w="414" w:type="pct"/>
            <w:vAlign w:val="center"/>
          </w:tcPr>
          <w:p w14:paraId="14308F22" w14:textId="2038391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1.35 a</w:t>
            </w:r>
          </w:p>
        </w:tc>
        <w:tc>
          <w:tcPr>
            <w:tcW w:w="421" w:type="pct"/>
            <w:shd w:val="clear" w:color="auto" w:fill="auto"/>
            <w:vAlign w:val="center"/>
          </w:tcPr>
          <w:p w14:paraId="245DC70B" w14:textId="045D8E8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0.58 c</w:t>
            </w:r>
          </w:p>
        </w:tc>
        <w:tc>
          <w:tcPr>
            <w:tcW w:w="471" w:type="pct"/>
            <w:vAlign w:val="center"/>
          </w:tcPr>
          <w:p w14:paraId="3CA9A599" w14:textId="17AC40E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3EDB393D" w14:textId="564CE5E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62.67 b</w:t>
            </w:r>
          </w:p>
        </w:tc>
        <w:tc>
          <w:tcPr>
            <w:tcW w:w="465" w:type="pct"/>
            <w:vAlign w:val="center"/>
          </w:tcPr>
          <w:p w14:paraId="62014E7F" w14:textId="795C9E11"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0.96 c</w:t>
            </w:r>
          </w:p>
        </w:tc>
      </w:tr>
      <w:tr w:rsidR="00C03187" w:rsidRPr="005C41E0" w14:paraId="0692DB5E" w14:textId="672D3AD2" w:rsidTr="005F357E">
        <w:tc>
          <w:tcPr>
            <w:tcW w:w="844" w:type="pct"/>
            <w:vAlign w:val="center"/>
          </w:tcPr>
          <w:p w14:paraId="5C6E00C5"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Demas 1</w:t>
            </w:r>
          </w:p>
        </w:tc>
        <w:tc>
          <w:tcPr>
            <w:tcW w:w="478" w:type="pct"/>
            <w:vAlign w:val="center"/>
          </w:tcPr>
          <w:p w14:paraId="03206A33" w14:textId="41FF3CBD"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35.23 c</w:t>
            </w:r>
          </w:p>
        </w:tc>
        <w:tc>
          <w:tcPr>
            <w:tcW w:w="421" w:type="pct"/>
            <w:vAlign w:val="center"/>
          </w:tcPr>
          <w:p w14:paraId="0D96D7D5" w14:textId="54E9F383"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0.89 c</w:t>
            </w:r>
          </w:p>
        </w:tc>
        <w:tc>
          <w:tcPr>
            <w:tcW w:w="478" w:type="pct"/>
            <w:vAlign w:val="center"/>
          </w:tcPr>
          <w:p w14:paraId="6EE2CDC9" w14:textId="311E8E3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11.79 a</w:t>
            </w:r>
          </w:p>
        </w:tc>
        <w:tc>
          <w:tcPr>
            <w:tcW w:w="535" w:type="pct"/>
            <w:vAlign w:val="center"/>
          </w:tcPr>
          <w:p w14:paraId="0B9EAEBE" w14:textId="5D0B18CD"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204.94 e</w:t>
            </w:r>
          </w:p>
        </w:tc>
        <w:tc>
          <w:tcPr>
            <w:tcW w:w="414" w:type="pct"/>
            <w:vAlign w:val="center"/>
          </w:tcPr>
          <w:p w14:paraId="78FA2260" w14:textId="3DCE4D4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1.60 b</w:t>
            </w:r>
          </w:p>
        </w:tc>
        <w:tc>
          <w:tcPr>
            <w:tcW w:w="421" w:type="pct"/>
            <w:vAlign w:val="center"/>
          </w:tcPr>
          <w:p w14:paraId="0DFD8CD6" w14:textId="25EFBB8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0.72 d</w:t>
            </w:r>
          </w:p>
        </w:tc>
        <w:tc>
          <w:tcPr>
            <w:tcW w:w="471" w:type="pct"/>
            <w:vAlign w:val="center"/>
          </w:tcPr>
          <w:p w14:paraId="5310A81C" w14:textId="17B8F09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25.67 b</w:t>
            </w:r>
          </w:p>
        </w:tc>
        <w:tc>
          <w:tcPr>
            <w:tcW w:w="471" w:type="pct"/>
            <w:vAlign w:val="center"/>
          </w:tcPr>
          <w:p w14:paraId="56FF87C8" w14:textId="003FC64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61.67 a</w:t>
            </w:r>
          </w:p>
        </w:tc>
        <w:tc>
          <w:tcPr>
            <w:tcW w:w="465" w:type="pct"/>
            <w:vAlign w:val="center"/>
          </w:tcPr>
          <w:p w14:paraId="4D367E94" w14:textId="7128DAD9"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1.08 d</w:t>
            </w:r>
          </w:p>
        </w:tc>
      </w:tr>
      <w:tr w:rsidR="00C03187" w:rsidRPr="005C41E0" w14:paraId="0FA65559" w14:textId="3EA2CA02" w:rsidTr="005F357E">
        <w:tc>
          <w:tcPr>
            <w:tcW w:w="844" w:type="pct"/>
            <w:vAlign w:val="center"/>
          </w:tcPr>
          <w:p w14:paraId="4AF6613E" w14:textId="77777777" w:rsidR="00C03187" w:rsidRPr="005C41E0" w:rsidRDefault="00C03187" w:rsidP="005F357E">
            <w:pPr>
              <w:rPr>
                <w:rFonts w:ascii="Times New Roman" w:eastAsia="Merriweather" w:hAnsi="Times New Roman" w:cs="Times New Roman"/>
                <w:b/>
                <w:bCs/>
                <w:iCs/>
                <w:sz w:val="20"/>
                <w:szCs w:val="20"/>
              </w:rPr>
            </w:pPr>
            <w:r w:rsidRPr="005C41E0">
              <w:rPr>
                <w:rFonts w:ascii="Times New Roman" w:eastAsia="Times New Roman" w:hAnsi="Times New Roman" w:cs="Times New Roman"/>
                <w:color w:val="000000"/>
                <w:sz w:val="20"/>
                <w:szCs w:val="20"/>
              </w:rPr>
              <w:t>Dena 1</w:t>
            </w:r>
          </w:p>
        </w:tc>
        <w:tc>
          <w:tcPr>
            <w:tcW w:w="478" w:type="pct"/>
            <w:vAlign w:val="center"/>
          </w:tcPr>
          <w:p w14:paraId="68FD54EC" w14:textId="16F65CC5" w:rsidR="00C03187" w:rsidRPr="005C41E0" w:rsidRDefault="00C03187" w:rsidP="005F357E">
            <w:pPr>
              <w:jc w:val="center"/>
              <w:rPr>
                <w:rFonts w:ascii="Times New Roman" w:eastAsia="Merriweather" w:hAnsi="Times New Roman" w:cs="Times New Roman"/>
                <w:b/>
                <w:bCs/>
                <w:iCs/>
                <w:sz w:val="20"/>
                <w:szCs w:val="20"/>
              </w:rPr>
            </w:pPr>
            <w:r w:rsidRPr="005C41E0">
              <w:rPr>
                <w:rFonts w:ascii="Times New Roman" w:hAnsi="Times New Roman" w:cs="Times New Roman"/>
                <w:color w:val="000000"/>
                <w:sz w:val="20"/>
                <w:szCs w:val="20"/>
              </w:rPr>
              <w:t>42.22 d</w:t>
            </w:r>
          </w:p>
        </w:tc>
        <w:tc>
          <w:tcPr>
            <w:tcW w:w="421" w:type="pct"/>
            <w:vAlign w:val="center"/>
          </w:tcPr>
          <w:p w14:paraId="59AFD3ED" w14:textId="7A007F18" w:rsidR="00C03187" w:rsidRPr="005C41E0" w:rsidRDefault="00C03187" w:rsidP="005F357E">
            <w:pPr>
              <w:jc w:val="center"/>
              <w:rPr>
                <w:rFonts w:ascii="Times New Roman" w:eastAsia="Merriweather" w:hAnsi="Times New Roman" w:cs="Times New Roman"/>
                <w:b/>
                <w:bCs/>
                <w:iCs/>
                <w:sz w:val="20"/>
                <w:szCs w:val="20"/>
              </w:rPr>
            </w:pPr>
            <w:r w:rsidRPr="005C41E0">
              <w:rPr>
                <w:rFonts w:ascii="Times New Roman" w:hAnsi="Times New Roman" w:cs="Times New Roman"/>
                <w:color w:val="000000"/>
                <w:sz w:val="20"/>
                <w:szCs w:val="20"/>
              </w:rPr>
              <w:t>1.20 d</w:t>
            </w:r>
          </w:p>
        </w:tc>
        <w:tc>
          <w:tcPr>
            <w:tcW w:w="478" w:type="pct"/>
            <w:vAlign w:val="center"/>
          </w:tcPr>
          <w:p w14:paraId="4961FE0B" w14:textId="3E2722CD"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17.46 c</w:t>
            </w:r>
          </w:p>
        </w:tc>
        <w:tc>
          <w:tcPr>
            <w:tcW w:w="535" w:type="pct"/>
            <w:vAlign w:val="center"/>
          </w:tcPr>
          <w:p w14:paraId="2F308896" w14:textId="17C1B3D7"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104.35 d</w:t>
            </w:r>
          </w:p>
        </w:tc>
        <w:tc>
          <w:tcPr>
            <w:tcW w:w="414" w:type="pct"/>
            <w:vAlign w:val="center"/>
          </w:tcPr>
          <w:p w14:paraId="088FCCE6" w14:textId="2E7786AB"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1.41 b</w:t>
            </w:r>
          </w:p>
        </w:tc>
        <w:tc>
          <w:tcPr>
            <w:tcW w:w="421" w:type="pct"/>
            <w:vAlign w:val="center"/>
          </w:tcPr>
          <w:p w14:paraId="4F5BC8C2" w14:textId="2F05B224" w:rsidR="00C03187" w:rsidRPr="005C41E0" w:rsidRDefault="00C03187" w:rsidP="005F357E">
            <w:pPr>
              <w:jc w:val="center"/>
              <w:rPr>
                <w:rFonts w:ascii="Times New Roman" w:eastAsia="Merriweather" w:hAnsi="Times New Roman" w:cs="Times New Roman"/>
                <w:b/>
                <w:bCs/>
                <w:iCs/>
                <w:sz w:val="20"/>
                <w:szCs w:val="20"/>
              </w:rPr>
            </w:pPr>
            <w:r w:rsidRPr="005C41E0">
              <w:rPr>
                <w:rFonts w:ascii="Times New Roman" w:hAnsi="Times New Roman" w:cs="Times New Roman"/>
                <w:color w:val="000000"/>
                <w:sz w:val="20"/>
                <w:szCs w:val="20"/>
              </w:rPr>
              <w:t>0.75 d</w:t>
            </w:r>
          </w:p>
        </w:tc>
        <w:tc>
          <w:tcPr>
            <w:tcW w:w="471" w:type="pct"/>
            <w:vAlign w:val="center"/>
          </w:tcPr>
          <w:p w14:paraId="0F318F60" w14:textId="465F5420" w:rsidR="00C03187" w:rsidRPr="005C41E0" w:rsidRDefault="00C03187" w:rsidP="005F357E">
            <w:pPr>
              <w:jc w:val="center"/>
              <w:rPr>
                <w:rFonts w:ascii="Times New Roman" w:eastAsia="Merriweather" w:hAnsi="Times New Roman" w:cs="Times New Roman"/>
                <w:b/>
                <w:bCs/>
                <w:iCs/>
                <w:sz w:val="20"/>
                <w:szCs w:val="20"/>
              </w:rPr>
            </w:pPr>
            <w:r w:rsidRPr="005C41E0">
              <w:rPr>
                <w:rFonts w:ascii="Times New Roman" w:hAnsi="Times New Roman" w:cs="Times New Roman"/>
                <w:color w:val="000000"/>
                <w:sz w:val="20"/>
                <w:szCs w:val="20"/>
              </w:rPr>
              <w:t>26.00 b</w:t>
            </w:r>
          </w:p>
        </w:tc>
        <w:tc>
          <w:tcPr>
            <w:tcW w:w="471" w:type="pct"/>
            <w:vAlign w:val="center"/>
          </w:tcPr>
          <w:p w14:paraId="2D8980B0" w14:textId="5C2081FE" w:rsidR="00C03187" w:rsidRPr="005C41E0" w:rsidRDefault="00C03187" w:rsidP="005F357E">
            <w:pPr>
              <w:jc w:val="center"/>
              <w:rPr>
                <w:rFonts w:ascii="Times New Roman" w:eastAsia="Merriweather" w:hAnsi="Times New Roman" w:cs="Times New Roman"/>
                <w:b/>
                <w:bCs/>
                <w:iCs/>
                <w:sz w:val="20"/>
                <w:szCs w:val="20"/>
              </w:rPr>
            </w:pPr>
            <w:r w:rsidRPr="005C41E0">
              <w:rPr>
                <w:rFonts w:ascii="Times New Roman" w:hAnsi="Times New Roman" w:cs="Times New Roman"/>
                <w:color w:val="000000"/>
                <w:sz w:val="20"/>
                <w:szCs w:val="20"/>
              </w:rPr>
              <w:t>62.00 b</w:t>
            </w:r>
          </w:p>
        </w:tc>
        <w:tc>
          <w:tcPr>
            <w:tcW w:w="465" w:type="pct"/>
            <w:vAlign w:val="center"/>
          </w:tcPr>
          <w:p w14:paraId="062C8B31" w14:textId="4760AD9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1.11 d</w:t>
            </w:r>
          </w:p>
        </w:tc>
      </w:tr>
      <w:tr w:rsidR="00C03187" w:rsidRPr="005C41E0" w14:paraId="1D1EE713" w14:textId="75E48FD1" w:rsidTr="005F357E">
        <w:tc>
          <w:tcPr>
            <w:tcW w:w="844" w:type="pct"/>
            <w:vAlign w:val="center"/>
          </w:tcPr>
          <w:p w14:paraId="7B24EA0E"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Dena 2</w:t>
            </w:r>
          </w:p>
        </w:tc>
        <w:tc>
          <w:tcPr>
            <w:tcW w:w="478" w:type="pct"/>
            <w:vAlign w:val="center"/>
          </w:tcPr>
          <w:p w14:paraId="52341A2A"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20.17 a</w:t>
            </w:r>
          </w:p>
        </w:tc>
        <w:tc>
          <w:tcPr>
            <w:tcW w:w="421" w:type="pct"/>
            <w:vAlign w:val="center"/>
          </w:tcPr>
          <w:p w14:paraId="33DC997F" w14:textId="4F58A53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0.67 b</w:t>
            </w:r>
          </w:p>
        </w:tc>
        <w:tc>
          <w:tcPr>
            <w:tcW w:w="478" w:type="pct"/>
            <w:vAlign w:val="center"/>
          </w:tcPr>
          <w:p w14:paraId="30F9679E" w14:textId="7FB4930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14.83 b</w:t>
            </w:r>
          </w:p>
        </w:tc>
        <w:tc>
          <w:tcPr>
            <w:tcW w:w="535" w:type="pct"/>
            <w:vAlign w:val="center"/>
          </w:tcPr>
          <w:p w14:paraId="0B57C3AE" w14:textId="5DD4AA4B"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103.94 d</w:t>
            </w:r>
          </w:p>
        </w:tc>
        <w:tc>
          <w:tcPr>
            <w:tcW w:w="414" w:type="pct"/>
            <w:vAlign w:val="center"/>
          </w:tcPr>
          <w:p w14:paraId="113E3948" w14:textId="3A761AD9"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1.47 b</w:t>
            </w:r>
          </w:p>
        </w:tc>
        <w:tc>
          <w:tcPr>
            <w:tcW w:w="421" w:type="pct"/>
            <w:vAlign w:val="center"/>
          </w:tcPr>
          <w:p w14:paraId="6B08E100" w14:textId="0FB4416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0.59 c</w:t>
            </w:r>
          </w:p>
        </w:tc>
        <w:tc>
          <w:tcPr>
            <w:tcW w:w="471" w:type="pct"/>
            <w:vAlign w:val="center"/>
          </w:tcPr>
          <w:p w14:paraId="4EACBD94" w14:textId="5B335F4D"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78509027" w14:textId="1FBDCD5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61.67 a</w:t>
            </w:r>
          </w:p>
        </w:tc>
        <w:tc>
          <w:tcPr>
            <w:tcW w:w="465" w:type="pct"/>
            <w:vAlign w:val="center"/>
          </w:tcPr>
          <w:p w14:paraId="5C6E4DE5" w14:textId="62F0764F"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0.98 c</w:t>
            </w:r>
          </w:p>
        </w:tc>
      </w:tr>
      <w:tr w:rsidR="00C03187" w:rsidRPr="005C41E0" w14:paraId="232A53D8" w14:textId="0EAF2588" w:rsidTr="005F357E">
        <w:tc>
          <w:tcPr>
            <w:tcW w:w="844" w:type="pct"/>
            <w:vAlign w:val="center"/>
          </w:tcPr>
          <w:p w14:paraId="45937C8C"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Derap 1</w:t>
            </w:r>
          </w:p>
        </w:tc>
        <w:tc>
          <w:tcPr>
            <w:tcW w:w="478" w:type="pct"/>
            <w:vAlign w:val="center"/>
          </w:tcPr>
          <w:p w14:paraId="461DECFD" w14:textId="0451B22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26.84 b</w:t>
            </w:r>
          </w:p>
        </w:tc>
        <w:tc>
          <w:tcPr>
            <w:tcW w:w="421" w:type="pct"/>
            <w:vAlign w:val="center"/>
          </w:tcPr>
          <w:p w14:paraId="05196F7E" w14:textId="7C95C6D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0.75 b</w:t>
            </w:r>
          </w:p>
        </w:tc>
        <w:tc>
          <w:tcPr>
            <w:tcW w:w="478" w:type="pct"/>
            <w:vAlign w:val="center"/>
          </w:tcPr>
          <w:p w14:paraId="3BD6F67C" w14:textId="29D80C0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19.30 c</w:t>
            </w:r>
          </w:p>
        </w:tc>
        <w:tc>
          <w:tcPr>
            <w:tcW w:w="535" w:type="pct"/>
            <w:vAlign w:val="center"/>
          </w:tcPr>
          <w:p w14:paraId="6A5AB0C7" w14:textId="0E843B51"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49.00 a</w:t>
            </w:r>
          </w:p>
        </w:tc>
        <w:tc>
          <w:tcPr>
            <w:tcW w:w="414" w:type="pct"/>
            <w:vAlign w:val="center"/>
          </w:tcPr>
          <w:p w14:paraId="706D5F8C" w14:textId="5FF0D0AB"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1.22 a</w:t>
            </w:r>
          </w:p>
        </w:tc>
        <w:tc>
          <w:tcPr>
            <w:tcW w:w="421" w:type="pct"/>
            <w:vAlign w:val="center"/>
          </w:tcPr>
          <w:p w14:paraId="40BAD85A" w14:textId="1B28345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0.58 c</w:t>
            </w:r>
          </w:p>
        </w:tc>
        <w:tc>
          <w:tcPr>
            <w:tcW w:w="471" w:type="pct"/>
            <w:vAlign w:val="center"/>
          </w:tcPr>
          <w:p w14:paraId="5B0ABE59" w14:textId="7BC8048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26.31 b</w:t>
            </w:r>
          </w:p>
        </w:tc>
        <w:tc>
          <w:tcPr>
            <w:tcW w:w="471" w:type="pct"/>
            <w:vAlign w:val="center"/>
          </w:tcPr>
          <w:p w14:paraId="05998310" w14:textId="2A98E38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62.67 b</w:t>
            </w:r>
          </w:p>
        </w:tc>
        <w:tc>
          <w:tcPr>
            <w:tcW w:w="465" w:type="pct"/>
            <w:vAlign w:val="center"/>
          </w:tcPr>
          <w:p w14:paraId="703F95FD" w14:textId="3DF7A996"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0.96 c</w:t>
            </w:r>
          </w:p>
        </w:tc>
      </w:tr>
      <w:tr w:rsidR="00C03187" w:rsidRPr="005C41E0" w14:paraId="07CA35B8" w14:textId="526A04F8" w:rsidTr="005F357E">
        <w:tc>
          <w:tcPr>
            <w:tcW w:w="844" w:type="pct"/>
            <w:vAlign w:val="center"/>
          </w:tcPr>
          <w:p w14:paraId="29DF521F"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Dering 1</w:t>
            </w:r>
          </w:p>
        </w:tc>
        <w:tc>
          <w:tcPr>
            <w:tcW w:w="478" w:type="pct"/>
            <w:vAlign w:val="center"/>
          </w:tcPr>
          <w:p w14:paraId="775E4221" w14:textId="4D2C720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40.05 d</w:t>
            </w:r>
          </w:p>
        </w:tc>
        <w:tc>
          <w:tcPr>
            <w:tcW w:w="421" w:type="pct"/>
            <w:vAlign w:val="center"/>
          </w:tcPr>
          <w:p w14:paraId="761BE824" w14:textId="3234291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1.14 d</w:t>
            </w:r>
          </w:p>
        </w:tc>
        <w:tc>
          <w:tcPr>
            <w:tcW w:w="478" w:type="pct"/>
            <w:vAlign w:val="center"/>
          </w:tcPr>
          <w:p w14:paraId="27A5AC88" w14:textId="2945CB5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13.09 a</w:t>
            </w:r>
          </w:p>
        </w:tc>
        <w:tc>
          <w:tcPr>
            <w:tcW w:w="535" w:type="pct"/>
            <w:vAlign w:val="center"/>
          </w:tcPr>
          <w:p w14:paraId="18FB9F73" w14:textId="2D6BBFD1"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98.29 d</w:t>
            </w:r>
          </w:p>
        </w:tc>
        <w:tc>
          <w:tcPr>
            <w:tcW w:w="414" w:type="pct"/>
            <w:vAlign w:val="center"/>
          </w:tcPr>
          <w:p w14:paraId="64E5FD6D" w14:textId="3482282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1.43 b</w:t>
            </w:r>
          </w:p>
        </w:tc>
        <w:tc>
          <w:tcPr>
            <w:tcW w:w="421" w:type="pct"/>
            <w:vAlign w:val="center"/>
          </w:tcPr>
          <w:p w14:paraId="19D8B633" w14:textId="2EF76B8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0.75 d</w:t>
            </w:r>
          </w:p>
        </w:tc>
        <w:tc>
          <w:tcPr>
            <w:tcW w:w="471" w:type="pct"/>
            <w:vAlign w:val="center"/>
          </w:tcPr>
          <w:p w14:paraId="29D27F5F" w14:textId="1BBB884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26.33 b</w:t>
            </w:r>
          </w:p>
        </w:tc>
        <w:tc>
          <w:tcPr>
            <w:tcW w:w="471" w:type="pct"/>
            <w:vAlign w:val="center"/>
          </w:tcPr>
          <w:p w14:paraId="7552A4FD" w14:textId="197C882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61.67 a</w:t>
            </w:r>
          </w:p>
        </w:tc>
        <w:tc>
          <w:tcPr>
            <w:tcW w:w="465" w:type="pct"/>
            <w:vAlign w:val="center"/>
          </w:tcPr>
          <w:p w14:paraId="484D73E3" w14:textId="6131C71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1.09 d</w:t>
            </w:r>
          </w:p>
        </w:tc>
      </w:tr>
      <w:tr w:rsidR="00C03187" w:rsidRPr="005C41E0" w14:paraId="47CC8246" w14:textId="5E63A47A" w:rsidTr="005F357E">
        <w:tc>
          <w:tcPr>
            <w:tcW w:w="844" w:type="pct"/>
            <w:vAlign w:val="center"/>
          </w:tcPr>
          <w:p w14:paraId="737B7B2E"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Detap 1</w:t>
            </w:r>
          </w:p>
        </w:tc>
        <w:tc>
          <w:tcPr>
            <w:tcW w:w="478" w:type="pct"/>
            <w:vAlign w:val="center"/>
          </w:tcPr>
          <w:p w14:paraId="63317B69" w14:textId="3D1FA46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40.54 d</w:t>
            </w:r>
          </w:p>
        </w:tc>
        <w:tc>
          <w:tcPr>
            <w:tcW w:w="421" w:type="pct"/>
            <w:vAlign w:val="center"/>
          </w:tcPr>
          <w:p w14:paraId="7C5853F7" w14:textId="0922217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0.99 c</w:t>
            </w:r>
          </w:p>
        </w:tc>
        <w:tc>
          <w:tcPr>
            <w:tcW w:w="478" w:type="pct"/>
            <w:vAlign w:val="center"/>
          </w:tcPr>
          <w:p w14:paraId="639A2F5A" w14:textId="144B133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18.19 c</w:t>
            </w:r>
          </w:p>
        </w:tc>
        <w:tc>
          <w:tcPr>
            <w:tcW w:w="535" w:type="pct"/>
            <w:vAlign w:val="center"/>
          </w:tcPr>
          <w:p w14:paraId="6D290DD4" w14:textId="3B6E0955"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57.56 b</w:t>
            </w:r>
          </w:p>
        </w:tc>
        <w:tc>
          <w:tcPr>
            <w:tcW w:w="414" w:type="pct"/>
            <w:vAlign w:val="center"/>
          </w:tcPr>
          <w:p w14:paraId="140DCFD5" w14:textId="004B5FED"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1.29 a</w:t>
            </w:r>
          </w:p>
        </w:tc>
        <w:tc>
          <w:tcPr>
            <w:tcW w:w="421" w:type="pct"/>
            <w:vAlign w:val="center"/>
          </w:tcPr>
          <w:p w14:paraId="2D177D04" w14:textId="66382C7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0.64 c</w:t>
            </w:r>
          </w:p>
        </w:tc>
        <w:tc>
          <w:tcPr>
            <w:tcW w:w="471" w:type="pct"/>
            <w:vAlign w:val="center"/>
          </w:tcPr>
          <w:p w14:paraId="7923DCD0" w14:textId="26DD649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4381C812" w14:textId="17E1AA19"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61.33 a</w:t>
            </w:r>
          </w:p>
        </w:tc>
        <w:tc>
          <w:tcPr>
            <w:tcW w:w="465" w:type="pct"/>
            <w:vAlign w:val="center"/>
          </w:tcPr>
          <w:p w14:paraId="2FA9D46F" w14:textId="4DB0ABC1"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1.09 d</w:t>
            </w:r>
          </w:p>
        </w:tc>
      </w:tr>
      <w:tr w:rsidR="00C03187" w:rsidRPr="005C41E0" w14:paraId="4A57716C" w14:textId="21476052" w:rsidTr="005F357E">
        <w:tc>
          <w:tcPr>
            <w:tcW w:w="844" w:type="pct"/>
            <w:vAlign w:val="center"/>
          </w:tcPr>
          <w:p w14:paraId="0BAE88E1"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Devon 1</w:t>
            </w:r>
          </w:p>
        </w:tc>
        <w:tc>
          <w:tcPr>
            <w:tcW w:w="478" w:type="pct"/>
            <w:vAlign w:val="center"/>
          </w:tcPr>
          <w:p w14:paraId="41C5E439" w14:textId="488790D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36.88 c</w:t>
            </w:r>
          </w:p>
        </w:tc>
        <w:tc>
          <w:tcPr>
            <w:tcW w:w="421" w:type="pct"/>
            <w:vAlign w:val="center"/>
          </w:tcPr>
          <w:p w14:paraId="5FD1394B" w14:textId="18459FD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1.00 c</w:t>
            </w:r>
          </w:p>
        </w:tc>
        <w:tc>
          <w:tcPr>
            <w:tcW w:w="478" w:type="pct"/>
            <w:vAlign w:val="center"/>
          </w:tcPr>
          <w:p w14:paraId="788FE33C" w14:textId="6E1900E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16.56 b</w:t>
            </w:r>
          </w:p>
        </w:tc>
        <w:tc>
          <w:tcPr>
            <w:tcW w:w="535" w:type="pct"/>
            <w:vAlign w:val="center"/>
          </w:tcPr>
          <w:p w14:paraId="55CFC313" w14:textId="5BDEDDBB"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75.39 c</w:t>
            </w:r>
          </w:p>
        </w:tc>
        <w:tc>
          <w:tcPr>
            <w:tcW w:w="414" w:type="pct"/>
            <w:vAlign w:val="center"/>
          </w:tcPr>
          <w:p w14:paraId="7D44DBEC" w14:textId="66ABAEF5"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1.35 b</w:t>
            </w:r>
          </w:p>
        </w:tc>
        <w:tc>
          <w:tcPr>
            <w:tcW w:w="421" w:type="pct"/>
            <w:vAlign w:val="center"/>
          </w:tcPr>
          <w:p w14:paraId="430D71B4" w14:textId="70EADD9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0.72 d</w:t>
            </w:r>
          </w:p>
        </w:tc>
        <w:tc>
          <w:tcPr>
            <w:tcW w:w="471" w:type="pct"/>
            <w:vAlign w:val="center"/>
          </w:tcPr>
          <w:p w14:paraId="75CFD86F" w14:textId="520443D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26.33 b</w:t>
            </w:r>
          </w:p>
        </w:tc>
        <w:tc>
          <w:tcPr>
            <w:tcW w:w="471" w:type="pct"/>
            <w:vAlign w:val="center"/>
          </w:tcPr>
          <w:p w14:paraId="750125B7" w14:textId="12227ED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61.33 a</w:t>
            </w:r>
          </w:p>
        </w:tc>
        <w:tc>
          <w:tcPr>
            <w:tcW w:w="465" w:type="pct"/>
            <w:vAlign w:val="center"/>
          </w:tcPr>
          <w:p w14:paraId="4A46F3E5" w14:textId="0DB9ED7F"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1.08 d</w:t>
            </w:r>
          </w:p>
        </w:tc>
      </w:tr>
      <w:tr w:rsidR="00C03187" w:rsidRPr="005C41E0" w14:paraId="2080AAF5" w14:textId="1F076452" w:rsidTr="005F357E">
        <w:tc>
          <w:tcPr>
            <w:tcW w:w="844" w:type="pct"/>
            <w:vAlign w:val="center"/>
          </w:tcPr>
          <w:p w14:paraId="17A71181"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Devon 2</w:t>
            </w:r>
          </w:p>
        </w:tc>
        <w:tc>
          <w:tcPr>
            <w:tcW w:w="478" w:type="pct"/>
            <w:vAlign w:val="center"/>
          </w:tcPr>
          <w:p w14:paraId="7F575076" w14:textId="13CB885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40.93 d</w:t>
            </w:r>
          </w:p>
        </w:tc>
        <w:tc>
          <w:tcPr>
            <w:tcW w:w="421" w:type="pct"/>
            <w:vAlign w:val="center"/>
          </w:tcPr>
          <w:p w14:paraId="53B6AD76" w14:textId="3086700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0.92 c</w:t>
            </w:r>
          </w:p>
        </w:tc>
        <w:tc>
          <w:tcPr>
            <w:tcW w:w="478" w:type="pct"/>
            <w:vAlign w:val="center"/>
          </w:tcPr>
          <w:p w14:paraId="2229659B" w14:textId="3A7E478F"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17.95 c</w:t>
            </w:r>
          </w:p>
        </w:tc>
        <w:tc>
          <w:tcPr>
            <w:tcW w:w="535" w:type="pct"/>
            <w:vAlign w:val="center"/>
          </w:tcPr>
          <w:p w14:paraId="0434F1A4" w14:textId="1AFC862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82.06 c</w:t>
            </w:r>
          </w:p>
        </w:tc>
        <w:tc>
          <w:tcPr>
            <w:tcW w:w="414" w:type="pct"/>
            <w:vAlign w:val="center"/>
          </w:tcPr>
          <w:p w14:paraId="40077CA8" w14:textId="6363DF1F"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1.44 b</w:t>
            </w:r>
          </w:p>
        </w:tc>
        <w:tc>
          <w:tcPr>
            <w:tcW w:w="421" w:type="pct"/>
            <w:vAlign w:val="center"/>
          </w:tcPr>
          <w:p w14:paraId="292BA7B4" w14:textId="55B5F1B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0.69 d</w:t>
            </w:r>
          </w:p>
        </w:tc>
        <w:tc>
          <w:tcPr>
            <w:tcW w:w="471" w:type="pct"/>
            <w:vAlign w:val="center"/>
          </w:tcPr>
          <w:p w14:paraId="0ACD674E" w14:textId="3133D11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27.00 b</w:t>
            </w:r>
          </w:p>
        </w:tc>
        <w:tc>
          <w:tcPr>
            <w:tcW w:w="471" w:type="pct"/>
            <w:vAlign w:val="center"/>
          </w:tcPr>
          <w:p w14:paraId="0C38A5A9" w14:textId="5B8591E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62.33 b</w:t>
            </w:r>
          </w:p>
        </w:tc>
        <w:tc>
          <w:tcPr>
            <w:tcW w:w="465" w:type="pct"/>
            <w:vAlign w:val="center"/>
          </w:tcPr>
          <w:p w14:paraId="79A0663E" w14:textId="30D8E792"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1.07 d</w:t>
            </w:r>
          </w:p>
        </w:tc>
      </w:tr>
      <w:tr w:rsidR="00C03187" w:rsidRPr="005C41E0" w14:paraId="1FB62E1C" w14:textId="197F4B2B" w:rsidTr="005F357E">
        <w:tc>
          <w:tcPr>
            <w:tcW w:w="844" w:type="pct"/>
            <w:vAlign w:val="center"/>
          </w:tcPr>
          <w:p w14:paraId="032B2C55"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Grobogan</w:t>
            </w:r>
          </w:p>
        </w:tc>
        <w:tc>
          <w:tcPr>
            <w:tcW w:w="478" w:type="pct"/>
            <w:vAlign w:val="center"/>
          </w:tcPr>
          <w:p w14:paraId="2A507C9E" w14:textId="702474C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28.99 b</w:t>
            </w:r>
          </w:p>
        </w:tc>
        <w:tc>
          <w:tcPr>
            <w:tcW w:w="421" w:type="pct"/>
            <w:vAlign w:val="center"/>
          </w:tcPr>
          <w:p w14:paraId="6CC974AB" w14:textId="3603D21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1.07 d</w:t>
            </w:r>
          </w:p>
        </w:tc>
        <w:tc>
          <w:tcPr>
            <w:tcW w:w="478" w:type="pct"/>
            <w:vAlign w:val="center"/>
          </w:tcPr>
          <w:p w14:paraId="078DA89B" w14:textId="43DAE2B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23.34 d</w:t>
            </w:r>
          </w:p>
        </w:tc>
        <w:tc>
          <w:tcPr>
            <w:tcW w:w="535" w:type="pct"/>
            <w:vAlign w:val="center"/>
          </w:tcPr>
          <w:p w14:paraId="3054A945" w14:textId="724BD8BD"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32.72 a</w:t>
            </w:r>
          </w:p>
        </w:tc>
        <w:tc>
          <w:tcPr>
            <w:tcW w:w="414" w:type="pct"/>
            <w:vAlign w:val="center"/>
          </w:tcPr>
          <w:p w14:paraId="6F00D327" w14:textId="097382A1"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1.13 a</w:t>
            </w:r>
          </w:p>
        </w:tc>
        <w:tc>
          <w:tcPr>
            <w:tcW w:w="421" w:type="pct"/>
            <w:vAlign w:val="center"/>
          </w:tcPr>
          <w:p w14:paraId="6089E5BF" w14:textId="7A461E2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0.57 c</w:t>
            </w:r>
          </w:p>
        </w:tc>
        <w:tc>
          <w:tcPr>
            <w:tcW w:w="471" w:type="pct"/>
            <w:vAlign w:val="center"/>
          </w:tcPr>
          <w:p w14:paraId="253FCD5E" w14:textId="50F609B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20.33 a</w:t>
            </w:r>
          </w:p>
        </w:tc>
        <w:tc>
          <w:tcPr>
            <w:tcW w:w="471" w:type="pct"/>
            <w:vAlign w:val="center"/>
          </w:tcPr>
          <w:p w14:paraId="3FC40522" w14:textId="23DA4CEF"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62.67 b</w:t>
            </w:r>
          </w:p>
        </w:tc>
        <w:tc>
          <w:tcPr>
            <w:tcW w:w="465" w:type="pct"/>
            <w:vAlign w:val="center"/>
          </w:tcPr>
          <w:p w14:paraId="437360CD" w14:textId="0C389BF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0.96 c</w:t>
            </w:r>
          </w:p>
        </w:tc>
      </w:tr>
      <w:tr w:rsidR="00C03187" w:rsidRPr="005C41E0" w14:paraId="56D8A160" w14:textId="3C556A72" w:rsidTr="005F357E">
        <w:tc>
          <w:tcPr>
            <w:tcW w:w="844" w:type="pct"/>
            <w:vAlign w:val="center"/>
          </w:tcPr>
          <w:p w14:paraId="2B13B7D2" w14:textId="77777777" w:rsidR="00C03187" w:rsidRPr="005C41E0" w:rsidRDefault="00C03187" w:rsidP="005F357E">
            <w:pPr>
              <w:rPr>
                <w:rFonts w:ascii="Times New Roman" w:eastAsia="Merriweather" w:hAnsi="Times New Roman" w:cs="Times New Roman"/>
                <w:iCs/>
                <w:sz w:val="20"/>
                <w:szCs w:val="20"/>
              </w:rPr>
            </w:pPr>
            <w:r w:rsidRPr="005C41E0">
              <w:rPr>
                <w:rFonts w:ascii="Times New Roman" w:eastAsia="Times New Roman" w:hAnsi="Times New Roman" w:cs="Times New Roman"/>
                <w:color w:val="000000"/>
                <w:sz w:val="20"/>
                <w:szCs w:val="20"/>
              </w:rPr>
              <w:t>BS 79</w:t>
            </w:r>
          </w:p>
        </w:tc>
        <w:tc>
          <w:tcPr>
            <w:tcW w:w="478" w:type="pct"/>
            <w:vAlign w:val="center"/>
          </w:tcPr>
          <w:p w14:paraId="2E7FD05A" w14:textId="023ACA2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22.01 a</w:t>
            </w:r>
          </w:p>
        </w:tc>
        <w:tc>
          <w:tcPr>
            <w:tcW w:w="421" w:type="pct"/>
            <w:vAlign w:val="center"/>
          </w:tcPr>
          <w:p w14:paraId="7868D719" w14:textId="77777777"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0.33 a</w:t>
            </w:r>
          </w:p>
        </w:tc>
        <w:tc>
          <w:tcPr>
            <w:tcW w:w="478" w:type="pct"/>
            <w:vAlign w:val="center"/>
          </w:tcPr>
          <w:p w14:paraId="6910C215" w14:textId="3F390AB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10.99 a</w:t>
            </w:r>
          </w:p>
        </w:tc>
        <w:tc>
          <w:tcPr>
            <w:tcW w:w="535" w:type="pct"/>
            <w:vAlign w:val="center"/>
          </w:tcPr>
          <w:p w14:paraId="6E0AF62D" w14:textId="7B819EB9"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67.00 b</w:t>
            </w:r>
          </w:p>
        </w:tc>
        <w:tc>
          <w:tcPr>
            <w:tcW w:w="414" w:type="pct"/>
            <w:vAlign w:val="center"/>
          </w:tcPr>
          <w:p w14:paraId="6C1D0084" w14:textId="2F671037"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1.15 a</w:t>
            </w:r>
          </w:p>
        </w:tc>
        <w:tc>
          <w:tcPr>
            <w:tcW w:w="421" w:type="pct"/>
            <w:vAlign w:val="center"/>
          </w:tcPr>
          <w:p w14:paraId="42F27DF7" w14:textId="0DB17688"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0.28 b</w:t>
            </w:r>
          </w:p>
        </w:tc>
        <w:tc>
          <w:tcPr>
            <w:tcW w:w="471" w:type="pct"/>
            <w:vAlign w:val="center"/>
          </w:tcPr>
          <w:p w14:paraId="6BD73A81" w14:textId="57485E2C"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25.67 b</w:t>
            </w:r>
          </w:p>
        </w:tc>
        <w:tc>
          <w:tcPr>
            <w:tcW w:w="471" w:type="pct"/>
            <w:vAlign w:val="center"/>
          </w:tcPr>
          <w:p w14:paraId="179A2730" w14:textId="33C39C4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61.00 a</w:t>
            </w:r>
          </w:p>
        </w:tc>
        <w:tc>
          <w:tcPr>
            <w:tcW w:w="465" w:type="pct"/>
            <w:vAlign w:val="center"/>
          </w:tcPr>
          <w:p w14:paraId="33E16651" w14:textId="72C50B7A"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0.65 b</w:t>
            </w:r>
          </w:p>
        </w:tc>
      </w:tr>
      <w:tr w:rsidR="00C03187" w:rsidRPr="005C41E0" w14:paraId="2558FD22" w14:textId="691EEF2A" w:rsidTr="005F357E">
        <w:tc>
          <w:tcPr>
            <w:tcW w:w="844" w:type="pct"/>
            <w:vAlign w:val="center"/>
          </w:tcPr>
          <w:p w14:paraId="4FB3BE6F" w14:textId="77777777" w:rsidR="00C03187" w:rsidRPr="005C41E0" w:rsidRDefault="00C03187" w:rsidP="005F357E">
            <w:pP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87</w:t>
            </w:r>
          </w:p>
        </w:tc>
        <w:tc>
          <w:tcPr>
            <w:tcW w:w="478" w:type="pct"/>
            <w:vAlign w:val="center"/>
          </w:tcPr>
          <w:p w14:paraId="3D9D8B01" w14:textId="2469EB6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27.85 b</w:t>
            </w:r>
          </w:p>
        </w:tc>
        <w:tc>
          <w:tcPr>
            <w:tcW w:w="421" w:type="pct"/>
            <w:vAlign w:val="center"/>
          </w:tcPr>
          <w:p w14:paraId="5FEA87AB" w14:textId="2F6F3E62"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0.67 b</w:t>
            </w:r>
          </w:p>
        </w:tc>
        <w:tc>
          <w:tcPr>
            <w:tcW w:w="478" w:type="pct"/>
            <w:vAlign w:val="center"/>
          </w:tcPr>
          <w:p w14:paraId="436390F3" w14:textId="0A5C9561"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11.24 a</w:t>
            </w:r>
          </w:p>
        </w:tc>
        <w:tc>
          <w:tcPr>
            <w:tcW w:w="535" w:type="pct"/>
            <w:vAlign w:val="center"/>
          </w:tcPr>
          <w:p w14:paraId="63F54A6C" w14:textId="0D6797E6"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80.44 c</w:t>
            </w:r>
          </w:p>
        </w:tc>
        <w:tc>
          <w:tcPr>
            <w:tcW w:w="414" w:type="pct"/>
            <w:vAlign w:val="center"/>
          </w:tcPr>
          <w:p w14:paraId="1E8D626C" w14:textId="1FE5CA86"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1.23 a</w:t>
            </w:r>
          </w:p>
        </w:tc>
        <w:tc>
          <w:tcPr>
            <w:tcW w:w="421" w:type="pct"/>
            <w:vAlign w:val="center"/>
          </w:tcPr>
          <w:p w14:paraId="5DBC8E58" w14:textId="2FA9C23D"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0.58 c</w:t>
            </w:r>
          </w:p>
        </w:tc>
        <w:tc>
          <w:tcPr>
            <w:tcW w:w="471" w:type="pct"/>
            <w:vAlign w:val="center"/>
          </w:tcPr>
          <w:p w14:paraId="25ADBE88" w14:textId="6A2377D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25.81 b</w:t>
            </w:r>
          </w:p>
        </w:tc>
        <w:tc>
          <w:tcPr>
            <w:tcW w:w="471" w:type="pct"/>
            <w:vAlign w:val="center"/>
          </w:tcPr>
          <w:p w14:paraId="7D597092" w14:textId="7641741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62.00 b</w:t>
            </w:r>
          </w:p>
        </w:tc>
        <w:tc>
          <w:tcPr>
            <w:tcW w:w="465" w:type="pct"/>
            <w:vAlign w:val="center"/>
          </w:tcPr>
          <w:p w14:paraId="62CA11DF" w14:textId="0C564DF8"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0.98 c</w:t>
            </w:r>
          </w:p>
        </w:tc>
      </w:tr>
      <w:tr w:rsidR="00C03187" w:rsidRPr="005C41E0" w14:paraId="080941C9" w14:textId="7D1C7C43" w:rsidTr="005F357E">
        <w:tc>
          <w:tcPr>
            <w:tcW w:w="844" w:type="pct"/>
            <w:vAlign w:val="center"/>
          </w:tcPr>
          <w:p w14:paraId="61F3D319" w14:textId="77777777" w:rsidR="00C03187" w:rsidRPr="005C41E0" w:rsidRDefault="00C03187" w:rsidP="005F357E">
            <w:pP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99</w:t>
            </w:r>
          </w:p>
        </w:tc>
        <w:tc>
          <w:tcPr>
            <w:tcW w:w="478" w:type="pct"/>
            <w:vAlign w:val="center"/>
          </w:tcPr>
          <w:p w14:paraId="61F64670" w14:textId="0E786880"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22.73 a</w:t>
            </w:r>
          </w:p>
        </w:tc>
        <w:tc>
          <w:tcPr>
            <w:tcW w:w="421" w:type="pct"/>
            <w:vAlign w:val="center"/>
          </w:tcPr>
          <w:p w14:paraId="3FF92728" w14:textId="59B9077F"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0.43 a</w:t>
            </w:r>
          </w:p>
        </w:tc>
        <w:tc>
          <w:tcPr>
            <w:tcW w:w="478" w:type="pct"/>
            <w:vAlign w:val="center"/>
          </w:tcPr>
          <w:p w14:paraId="545FF5A8" w14:textId="301504B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11.75 a</w:t>
            </w:r>
          </w:p>
        </w:tc>
        <w:tc>
          <w:tcPr>
            <w:tcW w:w="535" w:type="pct"/>
            <w:vAlign w:val="center"/>
          </w:tcPr>
          <w:p w14:paraId="0EAF181E" w14:textId="23946767"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77.84 c</w:t>
            </w:r>
          </w:p>
        </w:tc>
        <w:tc>
          <w:tcPr>
            <w:tcW w:w="414" w:type="pct"/>
            <w:vAlign w:val="center"/>
          </w:tcPr>
          <w:p w14:paraId="3D48A45D" w14:textId="4D974787"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1.24 a</w:t>
            </w:r>
          </w:p>
        </w:tc>
        <w:tc>
          <w:tcPr>
            <w:tcW w:w="421" w:type="pct"/>
            <w:vAlign w:val="center"/>
          </w:tcPr>
          <w:p w14:paraId="00601CDB" w14:textId="31058EEB"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0.12 a</w:t>
            </w:r>
          </w:p>
        </w:tc>
        <w:tc>
          <w:tcPr>
            <w:tcW w:w="471" w:type="pct"/>
            <w:vAlign w:val="center"/>
          </w:tcPr>
          <w:p w14:paraId="023FA37A" w14:textId="2360A70E"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6A78621A" w14:textId="13D9F9B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61.33 a</w:t>
            </w:r>
          </w:p>
        </w:tc>
        <w:tc>
          <w:tcPr>
            <w:tcW w:w="465" w:type="pct"/>
            <w:vAlign w:val="center"/>
          </w:tcPr>
          <w:p w14:paraId="48D817E4" w14:textId="65F9E64D"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0.42 a</w:t>
            </w:r>
          </w:p>
        </w:tc>
      </w:tr>
      <w:tr w:rsidR="00C03187" w:rsidRPr="005C41E0" w14:paraId="37CD5623" w14:textId="251961EB" w:rsidTr="005F357E">
        <w:tc>
          <w:tcPr>
            <w:tcW w:w="844" w:type="pct"/>
            <w:vAlign w:val="center"/>
          </w:tcPr>
          <w:p w14:paraId="662D6108" w14:textId="77777777" w:rsidR="00C03187" w:rsidRPr="005C41E0" w:rsidRDefault="00C03187" w:rsidP="005F357E">
            <w:pPr>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114</w:t>
            </w:r>
          </w:p>
        </w:tc>
        <w:tc>
          <w:tcPr>
            <w:tcW w:w="478" w:type="pct"/>
            <w:vAlign w:val="center"/>
          </w:tcPr>
          <w:p w14:paraId="75F065C4" w14:textId="3C4DA2B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26.91 b</w:t>
            </w:r>
          </w:p>
        </w:tc>
        <w:tc>
          <w:tcPr>
            <w:tcW w:w="421" w:type="pct"/>
            <w:vAlign w:val="center"/>
          </w:tcPr>
          <w:p w14:paraId="227D05B1" w14:textId="4C33FC96"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0.52 a</w:t>
            </w:r>
          </w:p>
        </w:tc>
        <w:tc>
          <w:tcPr>
            <w:tcW w:w="478" w:type="pct"/>
            <w:vAlign w:val="center"/>
          </w:tcPr>
          <w:p w14:paraId="315029F3" w14:textId="7B876D4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11.88 a</w:t>
            </w:r>
          </w:p>
        </w:tc>
        <w:tc>
          <w:tcPr>
            <w:tcW w:w="535" w:type="pct"/>
            <w:vAlign w:val="center"/>
          </w:tcPr>
          <w:p w14:paraId="34C3F659" w14:textId="7BA4291C"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90.11 d</w:t>
            </w:r>
          </w:p>
        </w:tc>
        <w:tc>
          <w:tcPr>
            <w:tcW w:w="414" w:type="pct"/>
            <w:vAlign w:val="center"/>
          </w:tcPr>
          <w:p w14:paraId="0828FC6E" w14:textId="3F9FDF82"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1.28 a</w:t>
            </w:r>
          </w:p>
        </w:tc>
        <w:tc>
          <w:tcPr>
            <w:tcW w:w="421" w:type="pct"/>
            <w:vAlign w:val="center"/>
          </w:tcPr>
          <w:p w14:paraId="6B66102A" w14:textId="26D65935"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0.54 c</w:t>
            </w:r>
          </w:p>
        </w:tc>
        <w:tc>
          <w:tcPr>
            <w:tcW w:w="471" w:type="pct"/>
            <w:vAlign w:val="center"/>
          </w:tcPr>
          <w:p w14:paraId="458700A3" w14:textId="6011FD4A"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26.00 b</w:t>
            </w:r>
          </w:p>
        </w:tc>
        <w:tc>
          <w:tcPr>
            <w:tcW w:w="471" w:type="pct"/>
            <w:vAlign w:val="center"/>
          </w:tcPr>
          <w:p w14:paraId="40C40589" w14:textId="2BECF034" w:rsidR="00C03187" w:rsidRPr="005C41E0" w:rsidRDefault="00C03187" w:rsidP="005F357E">
            <w:pPr>
              <w:jc w:val="center"/>
              <w:rPr>
                <w:rFonts w:ascii="Times New Roman" w:eastAsia="Merriweather" w:hAnsi="Times New Roman" w:cs="Times New Roman"/>
                <w:iCs/>
                <w:sz w:val="20"/>
                <w:szCs w:val="20"/>
              </w:rPr>
            </w:pPr>
            <w:r w:rsidRPr="005C41E0">
              <w:rPr>
                <w:rFonts w:ascii="Times New Roman" w:hAnsi="Times New Roman" w:cs="Times New Roman"/>
                <w:color w:val="000000"/>
                <w:sz w:val="20"/>
                <w:szCs w:val="20"/>
              </w:rPr>
              <w:t>61.00 a</w:t>
            </w:r>
          </w:p>
        </w:tc>
        <w:tc>
          <w:tcPr>
            <w:tcW w:w="465" w:type="pct"/>
            <w:vAlign w:val="center"/>
          </w:tcPr>
          <w:p w14:paraId="59CE30E9" w14:textId="3F05158E" w:rsidR="00C03187" w:rsidRPr="005C41E0" w:rsidRDefault="00C03187" w:rsidP="005F357E">
            <w:pPr>
              <w:jc w:val="center"/>
              <w:rPr>
                <w:rFonts w:ascii="Times New Roman" w:hAnsi="Times New Roman" w:cs="Times New Roman"/>
                <w:color w:val="000000"/>
                <w:sz w:val="20"/>
                <w:szCs w:val="20"/>
              </w:rPr>
            </w:pPr>
            <w:r w:rsidRPr="005C41E0">
              <w:rPr>
                <w:rFonts w:ascii="Times New Roman" w:hAnsi="Times New Roman" w:cs="Times New Roman"/>
                <w:color w:val="000000"/>
                <w:sz w:val="20"/>
                <w:szCs w:val="20"/>
              </w:rPr>
              <w:t>0.93 c</w:t>
            </w:r>
          </w:p>
        </w:tc>
      </w:tr>
    </w:tbl>
    <w:p w14:paraId="5B6E501C" w14:textId="4617F4B8" w:rsidR="008A420B" w:rsidRPr="005C41E0" w:rsidRDefault="008A420B" w:rsidP="003C39EF">
      <w:pPr>
        <w:spacing w:after="0" w:line="240" w:lineRule="auto"/>
        <w:jc w:val="both"/>
        <w:rPr>
          <w:rFonts w:ascii="Times New Roman" w:hAnsi="Times New Roman" w:cs="Times New Roman"/>
          <w:noProof/>
          <w:sz w:val="18"/>
          <w:szCs w:val="18"/>
        </w:rPr>
      </w:pPr>
      <w:r w:rsidRPr="005C41E0">
        <w:rPr>
          <w:rFonts w:ascii="Times New Roman" w:hAnsi="Times New Roman" w:cs="Times New Roman"/>
          <w:noProof/>
          <w:sz w:val="18"/>
          <w:szCs w:val="18"/>
        </w:rPr>
        <w:t xml:space="preserve">Note: </w:t>
      </w:r>
      <w:r w:rsidR="00FE6D04" w:rsidRPr="005C41E0">
        <w:rPr>
          <w:rFonts w:ascii="Times New Roman" w:hAnsi="Times New Roman" w:cs="Times New Roman"/>
          <w:noProof/>
          <w:sz w:val="18"/>
          <w:szCs w:val="18"/>
        </w:rPr>
        <w:t xml:space="preserve">PH = Plant Height; WB = Weight of Biomass; W100 = Weight of 100 Seeds; NSP = Number of Seed per Plant; </w:t>
      </w:r>
      <w:r w:rsidRPr="005C41E0">
        <w:rPr>
          <w:rFonts w:ascii="Times New Roman" w:hAnsi="Times New Roman" w:cs="Times New Roman"/>
          <w:noProof/>
          <w:sz w:val="18"/>
          <w:szCs w:val="18"/>
        </w:rPr>
        <w:t>WST</w:t>
      </w:r>
      <w:r w:rsidR="00350F51" w:rsidRPr="005C41E0">
        <w:rPr>
          <w:rFonts w:ascii="Times New Roman" w:hAnsi="Times New Roman" w:cs="Times New Roman"/>
          <w:noProof/>
          <w:sz w:val="18"/>
          <w:szCs w:val="18"/>
        </w:rPr>
        <w:t>= Weight of Seed per Plant</w:t>
      </w:r>
      <w:r w:rsidRPr="005C41E0">
        <w:rPr>
          <w:rFonts w:ascii="Times New Roman" w:hAnsi="Times New Roman" w:cs="Times New Roman"/>
          <w:noProof/>
          <w:sz w:val="18"/>
          <w:szCs w:val="18"/>
        </w:rPr>
        <w:t xml:space="preserve">; WSP = Weight of Seed per Plot; </w:t>
      </w:r>
      <w:r w:rsidR="00FE6D04" w:rsidRPr="005C41E0">
        <w:rPr>
          <w:rFonts w:ascii="Times New Roman" w:hAnsi="Times New Roman" w:cs="Times New Roman"/>
          <w:noProof/>
          <w:sz w:val="18"/>
          <w:szCs w:val="18"/>
        </w:rPr>
        <w:t>SFP = Seed Filling Periode</w:t>
      </w:r>
    </w:p>
    <w:p w14:paraId="67F0B696" w14:textId="56FA7C8C" w:rsidR="00D83748" w:rsidRPr="005C41E0" w:rsidRDefault="00106639" w:rsidP="00A01D1A">
      <w:pPr>
        <w:spacing w:after="0" w:line="240" w:lineRule="auto"/>
        <w:jc w:val="both"/>
        <w:rPr>
          <w:rFonts w:ascii="Times New Roman" w:hAnsi="Times New Roman" w:cs="Times New Roman"/>
          <w:noProof/>
          <w:sz w:val="18"/>
          <w:szCs w:val="18"/>
        </w:rPr>
      </w:pPr>
      <w:r w:rsidRPr="005C41E0">
        <w:rPr>
          <w:rFonts w:ascii="Times New Roman" w:eastAsia="Book Antiqua" w:hAnsi="Times New Roman" w:cs="Times New Roman"/>
          <w:sz w:val="18"/>
          <w:szCs w:val="18"/>
        </w:rPr>
        <w:t xml:space="preserve">Mean followed by the same lowercase alphabet in the same column is not significantly different based on </w:t>
      </w:r>
      <w:r w:rsidR="001074FD" w:rsidRPr="005C41E0">
        <w:rPr>
          <w:rFonts w:ascii="Times New Roman" w:eastAsia="Book Antiqua" w:hAnsi="Times New Roman" w:cs="Times New Roman"/>
          <w:sz w:val="18"/>
          <w:szCs w:val="18"/>
        </w:rPr>
        <w:t>Scott-Knott</w:t>
      </w:r>
      <w:r w:rsidRPr="005C41E0">
        <w:rPr>
          <w:rFonts w:ascii="Times New Roman" w:eastAsia="Book Antiqua" w:hAnsi="Times New Roman" w:cs="Times New Roman"/>
          <w:sz w:val="18"/>
          <w:szCs w:val="18"/>
        </w:rPr>
        <w:t xml:space="preserve"> multiple range test at </w:t>
      </w:r>
      <w:r w:rsidR="001074FD" w:rsidRPr="005C41E0">
        <w:rPr>
          <w:rFonts w:ascii="Times New Roman" w:eastAsia="Book Antiqua" w:hAnsi="Times New Roman" w:cs="Times New Roman"/>
          <w:sz w:val="18"/>
          <w:szCs w:val="18"/>
        </w:rPr>
        <w:t>5</w:t>
      </w:r>
      <w:r w:rsidRPr="005C41E0">
        <w:rPr>
          <w:rFonts w:ascii="Times New Roman" w:eastAsia="Book Antiqua" w:hAnsi="Times New Roman" w:cs="Times New Roman"/>
          <w:sz w:val="18"/>
          <w:szCs w:val="18"/>
        </w:rPr>
        <w:t xml:space="preserve"> %.</w:t>
      </w:r>
    </w:p>
    <w:p w14:paraId="7B64B029" w14:textId="77777777" w:rsidR="00307D19" w:rsidRDefault="00307D19" w:rsidP="00307D19">
      <w:pPr>
        <w:spacing w:after="0" w:line="240" w:lineRule="auto"/>
        <w:jc w:val="both"/>
        <w:rPr>
          <w:rFonts w:ascii="Times New Roman" w:eastAsia="Merriweather" w:hAnsi="Times New Roman" w:cs="Times New Roman"/>
          <w:iCs/>
          <w:lang w:val="en-US"/>
        </w:rPr>
        <w:sectPr w:rsidR="00307D19" w:rsidSect="00FF183A">
          <w:type w:val="continuous"/>
          <w:pgSz w:w="11907" w:h="16840"/>
          <w:pgMar w:top="1134" w:right="1134" w:bottom="1134" w:left="1418" w:header="907" w:footer="907" w:gutter="0"/>
          <w:cols w:space="576"/>
        </w:sectPr>
      </w:pPr>
    </w:p>
    <w:p w14:paraId="7208D7D9" w14:textId="17004B93" w:rsidR="00474587" w:rsidRPr="000E67DC" w:rsidRDefault="00307D19" w:rsidP="00307D19">
      <w:pPr>
        <w:spacing w:after="0" w:line="240" w:lineRule="auto"/>
        <w:jc w:val="both"/>
        <w:rPr>
          <w:rFonts w:ascii="Times New Roman" w:eastAsia="Merriweather" w:hAnsi="Times New Roman" w:cs="Times New Roman"/>
          <w:iCs/>
          <w:lang w:val="en-US"/>
        </w:rPr>
      </w:pPr>
      <w:r w:rsidRPr="000E67DC">
        <w:rPr>
          <w:rFonts w:ascii="Times New Roman" w:eastAsia="Merriweather" w:hAnsi="Times New Roman" w:cs="Times New Roman"/>
          <w:iCs/>
          <w:lang w:val="en-US"/>
        </w:rPr>
        <w:lastRenderedPageBreak/>
        <w:t>This</w:t>
      </w:r>
      <w:r>
        <w:rPr>
          <w:rFonts w:ascii="Times New Roman" w:eastAsia="Merriweather" w:hAnsi="Times New Roman" w:cs="Times New Roman"/>
          <w:iCs/>
          <w:lang w:val="en-US"/>
        </w:rPr>
        <w:t xml:space="preserve"> </w:t>
      </w:r>
      <w:r w:rsidR="00B96EE4" w:rsidRPr="000E67DC">
        <w:rPr>
          <w:rFonts w:ascii="Times New Roman" w:eastAsia="Merriweather" w:hAnsi="Times New Roman" w:cs="Times New Roman"/>
          <w:iCs/>
          <w:lang w:val="en-US"/>
        </w:rPr>
        <w:t xml:space="preserve">where seed development </w:t>
      </w:r>
      <w:r w:rsidR="007B1E4E" w:rsidRPr="000E67DC">
        <w:rPr>
          <w:rStyle w:val="FootnoteReference"/>
          <w:rFonts w:ascii="Times New Roman" w:eastAsia="Merriweather" w:hAnsi="Times New Roman" w:cs="Times New Roman"/>
          <w:iCs/>
          <w:lang w:val="en-US"/>
        </w:rPr>
        <w:fldChar w:fldCharType="begin" w:fldLock="1"/>
      </w:r>
      <w:r w:rsidR="00135DF9">
        <w:rPr>
          <w:rFonts w:ascii="Times New Roman" w:eastAsia="Merriweather" w:hAnsi="Times New Roman" w:cs="Times New Roman"/>
          <w:iCs/>
          <w:lang w:val="en-US"/>
        </w:rPr>
        <w:instrText>ADDIN CSL_CITATION {"citationItems":[{"id":"ITEM-1","itemData":{"DOI":"10.1080/1343943X.2017.1356203","ISSN":"13491008","abstract":"Cultivar tests under tropical environments could be an approach to explore soybean productivity under high temperature. Twenty-nine soybean cultivars divided into five groups with temperate origin (Japanese and US) and tropical origin (Indonesian-old, Indonesian-modern and other tropical) were grown for two years in a tropical environment at Banten, Indonesia, with minimal season-to-season variation in air temperature and day-length. Temperate cultivars were earlier in flowering and shorter in duration from R1 to R5. Temperate cultivars had a seed yield of 157 g m−2 (mean temperate cultivars) compared to 249 g m−2 (tropical cultivars), which was due to having lower values of pods, seed number and TDW. In addition, the occurrence of shriveling and smaller seed size compared to plants grown in their region of origin was considerably evident in Japanese cultivars. To account for the difference of growth duration, a maturity-corrected index for yield and relevant variables was calculated to consider the amount of incident solar radiation. The yield index for all tested cultivars ranged from.49 to 1.48, and Japanese cultivars showed the lowest yield index (.67), followed by US cultivars (.87), whereas tropical cultivars had index means from 1.05 to 1.20. Although they were both of temperate origin, Japanese cultivars tended to show a lower index than US cultivars. The tendency was similar for TDW and node number. The poor performance of temperate cultivars even after correction suggests that there is a genetic variation of adaptation to a tropical environment independent of growth duration. Additionally, there was considerable performance variation within temperate cultivars.","author":[{"dropping-particle":"","family":"Saryoko","given":"Andy","non-dropping-particle":"","parse-names":false,"suffix":""},{"dropping-particle":"","family":"Homma","given":"Koki","non-dropping-particle":"","parse-names":false,"suffix":""},{"dropping-particle":"","family":"Lubis","given":"Iskandar","non-dropping-particle":"","parse-names":false,"suffix":""},{"dropping-particle":"","family":"Shiraiwa","given":"Tatsuhiko","non-dropping-particle":"","parse-names":false,"suffix":""}],"container-title":"Plant Production Science","id":"ITEM-1","issue":"4","issued":{"date-parts":[["2017"]]},"page":"375-383","publisher":"Taylor &amp; Francis","title":"Plant development and yield components under a tropical environment in soybean cultivars with temperate and tropical origins","type":"article-journal","volume":"20"},"uris":["http://www.mendeley.com/documents/?uuid=a0f1cb79-c0eb-4a66-ac88-c043fc7eaf5f"]}],"mendeley":{"formattedCitation":"(Saryoko et al., 2017)","plainTextFormattedCitation":"(Saryoko et al., 2017)","previouslyFormattedCitation":"(Saryoko et al., 2017)"},"properties":{"noteIndex":0},"schema":"https://github.com/citation-style-language/schema/raw/master/csl-citation.json"}</w:instrText>
      </w:r>
      <w:r w:rsidR="007B1E4E" w:rsidRPr="000E67DC">
        <w:rPr>
          <w:rStyle w:val="FootnoteReference"/>
          <w:rFonts w:ascii="Times New Roman" w:eastAsia="Merriweather" w:hAnsi="Times New Roman" w:cs="Times New Roman"/>
          <w:iCs/>
          <w:lang w:val="en-US"/>
        </w:rPr>
        <w:fldChar w:fldCharType="separate"/>
      </w:r>
      <w:r w:rsidR="00451B4E" w:rsidRPr="00135DF9">
        <w:rPr>
          <w:rFonts w:ascii="Times New Roman" w:eastAsia="Merriweather" w:hAnsi="Times New Roman" w:cs="Times New Roman"/>
          <w:bCs/>
          <w:iCs/>
          <w:noProof/>
          <w:lang w:val="en-US"/>
        </w:rPr>
        <w:t>(Saryoko et al., 2017)</w:t>
      </w:r>
      <w:r w:rsidR="007B1E4E" w:rsidRPr="000E67DC">
        <w:rPr>
          <w:rStyle w:val="FootnoteReference"/>
          <w:rFonts w:ascii="Times New Roman" w:eastAsia="Merriweather" w:hAnsi="Times New Roman" w:cs="Times New Roman"/>
          <w:iCs/>
          <w:lang w:val="en-US"/>
        </w:rPr>
        <w:fldChar w:fldCharType="end"/>
      </w:r>
      <w:r w:rsidR="002638DB" w:rsidRPr="000E67DC">
        <w:rPr>
          <w:rFonts w:ascii="Times New Roman" w:eastAsia="Merriweather" w:hAnsi="Times New Roman" w:cs="Times New Roman"/>
          <w:iCs/>
          <w:lang w:val="en-US"/>
        </w:rPr>
        <w:t xml:space="preserve"> </w:t>
      </w:r>
      <w:r w:rsidR="00B96EE4" w:rsidRPr="000E67DC">
        <w:rPr>
          <w:rFonts w:ascii="Times New Roman" w:eastAsia="Merriweather" w:hAnsi="Times New Roman" w:cs="Times New Roman"/>
          <w:iCs/>
          <w:lang w:val="en-US"/>
        </w:rPr>
        <w:t>and pod filling occur</w:t>
      </w:r>
      <w:r w:rsidR="002638DB" w:rsidRPr="000E67DC">
        <w:rPr>
          <w:rFonts w:ascii="Times New Roman" w:eastAsia="Merriweather" w:hAnsi="Times New Roman" w:cs="Times New Roman"/>
          <w:iCs/>
          <w:lang w:val="en-US"/>
        </w:rPr>
        <w:t xml:space="preserve"> </w:t>
      </w:r>
      <w:r w:rsidR="007B1E4E" w:rsidRPr="000E67DC">
        <w:rPr>
          <w:rStyle w:val="FootnoteReference"/>
          <w:rFonts w:ascii="Times New Roman" w:eastAsia="Merriweather" w:hAnsi="Times New Roman" w:cs="Times New Roman"/>
          <w:iCs/>
          <w:lang w:val="en-US"/>
        </w:rPr>
        <w:fldChar w:fldCharType="begin" w:fldLock="1"/>
      </w:r>
      <w:r w:rsidR="00135DF9">
        <w:rPr>
          <w:rFonts w:ascii="Times New Roman" w:eastAsia="Merriweather" w:hAnsi="Times New Roman" w:cs="Times New Roman"/>
          <w:iCs/>
          <w:lang w:val="en-US"/>
        </w:rPr>
        <w:instrText>ADDIN CSL_CITATION {"citationItems":[{"id":"ITEM-1","itemData":{"DOI":"10.1016/j.fcr.2023.109137","ISSN":"03784290","abstract":"Context or problem: Agricultural production in the world has drastically increased to meet future food demand. Yield gap assessment provides important information on how production can be increased on existing cropland. Also, boosting food production by reducing the yield gap has fewer environmental consequences than increasing the food production area. Methods: For this purpose, the SSM-Legume model was evaluated and used to simulate chickpea rainfed potential production, rainfed potential production of chickpea with actual sowing date (YRS), plant density (YRD) and nitrogen fertilizer (YRN), practiced by farmers as well as yield gaps due to improper sowing date (YGS), plant density (YGD), nitrogen limitation (YGN), and yield gap due to other limiting and reducing factors (YGO) at 12 chickpea producing locations of Iran. Results: Our results showed that at national scale, the mean total yield gap (YG) was 67%, indicating chickpea grain yield achieved by farmers was only 33% of attainable yields (YA) during the past 3 decades. Furthermore, the YG was 28% higher for the new early-maturity cultivar (Adel) than for the old early-maturity cultivar. Nationally, across two cultivars, the most significant share of YG belonged to YGO (45%), followed by YGS (40%), YGD (8%), and YGN (6%). However, the share of each YGO, YGS, YGD, and YGN in YG varied based on region. The highest YG was related to YGO (67%) in all studied regions (except west). Furthermore, the greatest share of YG belonged to YGS (79%) in western regions. The mean YGD was lower than 10% in all regions (except in the south and the west). There was a small yield gap due to farmers' lack of starter nitrogen fertilizer, which varied from 2% in the south to 10% in the west. Conclusions: Overall, our results approved that there was the low agronomic efficiency of chickpea cultivation despite resource accessibility in these regions. In other words, the replacement of the old-early maturity cultivar (Beavanij as check cultivar) with the new early-maturity cultivar (Adel) would increase attainable yield by 28% that shows the genetic effect. However, we can argue that chickpea yield in studied locations is limited mainly by other limiting and reducing factors (YGO) and not the genetics of the current cultivars or sowing date, plant density, and nitrogen. Implications or significance: The current research focused on both genetic and management effects influencing on closing the yield gaps and introduced new…","author":[{"dropping-particle":"","family":"Rahimi Moghaddam","given":"Sajjad","non-dropping-particle":"","parse-names":false,"suffix":""},{"dropping-particle":"","family":"Amiri","given":"Seyedreza","non-dropping-particle":"","parse-names":false,"suffix":""},{"dropping-particle":"","family":"Eyni-Nargeseh","given":"Hamed","non-dropping-particle":"","parse-names":false,"suffix":""}],"container-title":"Field Crops Research","id":"ITEM-1","issue":"September","issued":{"date-parts":[["2023"]]},"page":"109137","publisher":"Elsevier B.V.","title":"Assessing chickpea attainable yield and closing the yield gaps caused by agronomic and genetic factors","type":"article-journal","volume":"303"},"uris":["http://www.mendeley.com/documents/?uuid=6a52b741-a663-417b-a4d9-985027a6d097"]},{"id":"ITEM-2","itemData":{"DOI":"10.1080/1343943X.2017.1356203","ISSN":"13491008","abstract":"Cultivar tests under tropical environments could be an approach to explore soybean productivity under high temperature. Twenty-nine soybean cultivars divided into five groups with temperate origin (Japanese and US) and tropical origin (Indonesian-old, Indonesian-modern and other tropical) were grown for two years in a tropical environment at Banten, Indonesia, with minimal season-to-season variation in air temperature and day-length. Temperate cultivars were earlier in flowering and shorter in duration from R1 to R5. Temperate cultivars had a seed yield of 157 g m−2 (mean temperate cultivars) compared to 249 g m−2 (tropical cultivars), which was due to having lower values of pods, seed number and TDW. In addition, the occurrence of shriveling and smaller seed size compared to plants grown in their region of origin was considerably evident in Japanese cultivars. To account for the difference of growth duration, a maturity-corrected index for yield and relevant variables was calculated to consider the amount of incident solar radiation. The yield index for all tested cultivars ranged from.49 to 1.48, and Japanese cultivars showed the lowest yield index (.67), followed by US cultivars (.87), whereas tropical cultivars had index means from 1.05 to 1.20. Although they were both of temperate origin, Japanese cultivars tended to show a lower index than US cultivars. The tendency was similar for TDW and node number. The poor performance of temperate cultivars even after correction suggests that there is a genetic variation of adaptation to a tropical environment independent of growth duration. Additionally, there was considerable performance variation within temperate cultivars.","author":[{"dropping-particle":"","family":"Saryoko","given":"Andy","non-dropping-particle":"","parse-names":false,"suffix":""},{"dropping-particle":"","family":"Homma","given":"Koki","non-dropping-particle":"","parse-names":false,"suffix":""},{"dropping-particle":"","family":"Lubis","given":"Iskandar","non-dropping-particle":"","parse-names":false,"suffix":""},{"dropping-particle":"","family":"Shiraiwa","given":"Tatsuhiko","non-dropping-particle":"","parse-names":false,"suffix":""}],"container-title":"Plant Production Science","id":"ITEM-2","issue":"4","issued":{"date-parts":[["2017"]]},"page":"375-383","publisher":"Taylor &amp; Francis","title":"Plant development and yield components under a tropical environment in soybean cultivars with temperate and tropical origins","type":"article-journal","volume":"20"},"uris":["http://www.mendeley.com/documents/?uuid=a0f1cb79-c0eb-4a66-ac88-c043fc7eaf5f"]}],"mendeley":{"formattedCitation":"(Rahimi Moghaddam et al., 2023; Saryoko et al., 2017)","manualFormatting":"(Rahimi-Moghaddam et al., 2023)","plainTextFormattedCitation":"(Rahimi Moghaddam et al., 2023; Saryoko et al., 2017)","previouslyFormattedCitation":"(Rahimi Moghaddam et al., 2023; Saryoko et al., 2017)"},"properties":{"noteIndex":0},"schema":"https://github.com/citation-style-language/schema/raw/master/csl-citation.json"}</w:instrText>
      </w:r>
      <w:r w:rsidR="007B1E4E" w:rsidRPr="000E67DC">
        <w:rPr>
          <w:rStyle w:val="FootnoteReference"/>
          <w:rFonts w:ascii="Times New Roman" w:eastAsia="Merriweather" w:hAnsi="Times New Roman" w:cs="Times New Roman"/>
          <w:iCs/>
          <w:lang w:val="en-US"/>
        </w:rPr>
        <w:fldChar w:fldCharType="separate"/>
      </w:r>
      <w:r w:rsidR="007B1E4E" w:rsidRPr="000E67DC">
        <w:rPr>
          <w:rFonts w:ascii="Times New Roman" w:eastAsia="Merriweather" w:hAnsi="Times New Roman" w:cs="Times New Roman"/>
          <w:iCs/>
          <w:noProof/>
          <w:lang w:val="en-US"/>
        </w:rPr>
        <w:t>(Rahimi-Moghaddam et al., 2023)</w:t>
      </w:r>
      <w:r w:rsidR="007B1E4E" w:rsidRPr="000E67DC">
        <w:rPr>
          <w:rStyle w:val="FootnoteReference"/>
          <w:rFonts w:ascii="Times New Roman" w:eastAsia="Merriweather" w:hAnsi="Times New Roman" w:cs="Times New Roman"/>
          <w:iCs/>
          <w:lang w:val="en-US"/>
        </w:rPr>
        <w:fldChar w:fldCharType="end"/>
      </w:r>
      <w:r w:rsidR="00B96EE4" w:rsidRPr="000E67DC">
        <w:rPr>
          <w:rFonts w:ascii="Times New Roman" w:eastAsia="Merriweather" w:hAnsi="Times New Roman" w:cs="Times New Roman"/>
          <w:iCs/>
          <w:lang w:val="en-US"/>
        </w:rPr>
        <w:t>. This phase is directly related to the final yield, as a longer R1-R8 stage allows the plants to optimize seed filling</w:t>
      </w:r>
      <w:r w:rsidR="002638DB" w:rsidRPr="000E67DC">
        <w:rPr>
          <w:rFonts w:ascii="Times New Roman" w:eastAsia="Merriweather" w:hAnsi="Times New Roman" w:cs="Times New Roman"/>
          <w:iCs/>
          <w:lang w:val="en-US"/>
        </w:rPr>
        <w:t xml:space="preserve"> </w:t>
      </w:r>
      <w:r w:rsidR="007B1E4E" w:rsidRPr="000E67DC">
        <w:rPr>
          <w:rStyle w:val="FootnoteReference"/>
          <w:rFonts w:ascii="Times New Roman" w:eastAsia="Merriweather" w:hAnsi="Times New Roman" w:cs="Times New Roman"/>
          <w:iCs/>
          <w:lang w:val="en-US"/>
        </w:rPr>
        <w:fldChar w:fldCharType="begin" w:fldLock="1"/>
      </w:r>
      <w:r w:rsidR="00135DF9">
        <w:rPr>
          <w:rFonts w:ascii="Times New Roman" w:eastAsia="Merriweather" w:hAnsi="Times New Roman" w:cs="Times New Roman"/>
          <w:iCs/>
          <w:lang w:val="en-US"/>
        </w:rPr>
        <w:instrText>ADDIN CSL_CITATION {"citationItems":[{"id":"ITEM-1","itemData":{"DOI":"10.3390/agronomy13092317","ISSN":"20734395","abstract":"Soybean is a short-day crop, and its sensitivity to photoperiod is an important trait for its adaptability. Rapid changes in the climate on a global scale could be a threat to future food security. There is a need to increase the heat tolerance of soybean to sustain its production. The availability of global germplasm provides plant breeders with the opportunity to explore the genetic potential of the existing soybean germplasm. For this purpose, a panel of 203 soybean accessions from different global climatic zones was evaluated for adaptability under long-day conditions. Field screening of the soybean germplasm was conducted over two consecutive years, 2016 and 2017, in Faisalabad, Pakistan. This study screened 15 diverse soybean accessions that exhibited economically viable yields in both years, i.e., 1500–2200 kg/ha. Data related to plant height, node number, pods per plant, seeds per plant, seed weight per plant, hundred-grain weight, and total yield were recorded. Two soybean accessions, PI548271 (MG-IV) and PI553039 (MG-IV,) produced the highest yield in both years. The genotypic and phenotypic coefficients of variance, broad-sense heritability, and genetic advances observed in their yields were also high. These results highlight the potential pre-existing genetic variation required to improve the adaptation of soybean to long-day conditions. Some of the accessions identified in the current study could be recommended for general cultivation under long-day and high-temperature conditions.","author":[{"dropping-particle":"","family":"Rani","given":"Reena","non-dropping-particle":"","parse-names":false,"suffix":""},{"dropping-particle":"","family":"Arif","given":"Muhammad","non-dropping-particle":"","parse-names":false,"suffix":""},{"dropping-particle":"","family":"Rahman","given":"Saleem Ur","non-dropping-particle":"","parse-names":false,"suffix":""},{"dropping-particle":"","family":"Hammad","given":"Muhammad","non-dropping-particle":"","parse-names":false,"suffix":""},{"dropping-particle":"","family":"Mukhtar","given":"Zahid","non-dropping-particle":"","parse-names":false,"suffix":""},{"dropping-particle":"","family":"Rizwan","given":"Muhammad","non-dropping-particle":"","parse-names":false,"suffix":""},{"dropping-particle":"","family":"Shimelis","given":"Hussein","non-dropping-particle":"","parse-names":false,"suffix":""},{"dropping-particle":"","family":"Raza","given":"Ghulam","non-dropping-particle":"","parse-names":false,"suffix":""}],"container-title":"Agronomy","id":"ITEM-1","issue":"9","issued":{"date-parts":[["2023"]]},"page":"1-17","title":"Field Screening of Diverse Soybean Germplasm to Characterize Their Adaptability under Long-Day Condition","type":"article-journal","volume":"13"},"uris":["http://www.mendeley.com/documents/?uuid=bd647137-9db6-4655-a2e4-98396c001c92"]}],"mendeley":{"formattedCitation":"(Rani et al., 2023)","plainTextFormattedCitation":"(Rani et al., 2023)","previouslyFormattedCitation":"(Rani et al., 2023)"},"properties":{"noteIndex":0},"schema":"https://github.com/citation-style-language/schema/raw/master/csl-citation.json"}</w:instrText>
      </w:r>
      <w:r w:rsidR="007B1E4E" w:rsidRPr="000E67DC">
        <w:rPr>
          <w:rStyle w:val="FootnoteReference"/>
          <w:rFonts w:ascii="Times New Roman" w:eastAsia="Merriweather" w:hAnsi="Times New Roman" w:cs="Times New Roman"/>
          <w:iCs/>
          <w:lang w:val="en-US"/>
        </w:rPr>
        <w:fldChar w:fldCharType="separate"/>
      </w:r>
      <w:r w:rsidR="00451B4E" w:rsidRPr="00135DF9">
        <w:rPr>
          <w:rFonts w:ascii="Times New Roman" w:eastAsia="Merriweather" w:hAnsi="Times New Roman" w:cs="Times New Roman"/>
          <w:bCs/>
          <w:iCs/>
          <w:noProof/>
          <w:lang w:val="en-US"/>
        </w:rPr>
        <w:t>(Rani et al., 2023)</w:t>
      </w:r>
      <w:r w:rsidR="007B1E4E" w:rsidRPr="000E67DC">
        <w:rPr>
          <w:rStyle w:val="FootnoteReference"/>
          <w:rFonts w:ascii="Times New Roman" w:eastAsia="Merriweather" w:hAnsi="Times New Roman" w:cs="Times New Roman"/>
          <w:iCs/>
          <w:lang w:val="en-US"/>
        </w:rPr>
        <w:fldChar w:fldCharType="end"/>
      </w:r>
      <w:r w:rsidR="00B96EE4" w:rsidRPr="000E67DC">
        <w:rPr>
          <w:rFonts w:ascii="Times New Roman" w:eastAsia="Merriweather" w:hAnsi="Times New Roman" w:cs="Times New Roman"/>
          <w:iCs/>
          <w:lang w:val="en-US"/>
        </w:rPr>
        <w:t>.</w:t>
      </w:r>
      <w:r w:rsidR="00FB2AF4" w:rsidRPr="000E67DC">
        <w:rPr>
          <w:rFonts w:ascii="Times New Roman" w:eastAsia="Merriweather" w:hAnsi="Times New Roman" w:cs="Times New Roman"/>
          <w:iCs/>
          <w:lang w:val="en-US"/>
        </w:rPr>
        <w:t xml:space="preserve"> </w:t>
      </w:r>
      <w:r w:rsidR="00B96EE4" w:rsidRPr="000E67DC">
        <w:rPr>
          <w:rFonts w:ascii="Times New Roman" w:eastAsia="Merriweather" w:hAnsi="Times New Roman" w:cs="Times New Roman"/>
          <w:iCs/>
          <w:lang w:val="en-US"/>
        </w:rPr>
        <w:t>SFP (Seed Filling Period) measures the duration from the start of seed filling to seed maturity</w:t>
      </w:r>
      <w:r w:rsidR="00AE6F77" w:rsidRPr="000E67DC">
        <w:rPr>
          <w:rFonts w:ascii="Times New Roman" w:eastAsia="Merriweather" w:hAnsi="Times New Roman" w:cs="Times New Roman"/>
          <w:iCs/>
          <w:lang w:val="en-US"/>
        </w:rPr>
        <w:t xml:space="preserve"> </w:t>
      </w:r>
      <w:r w:rsidR="007B1E4E" w:rsidRPr="000E67DC">
        <w:rPr>
          <w:rStyle w:val="FootnoteReference"/>
          <w:rFonts w:ascii="Times New Roman" w:eastAsia="Merriweather" w:hAnsi="Times New Roman" w:cs="Times New Roman"/>
          <w:iCs/>
          <w:lang w:val="en-US"/>
        </w:rPr>
        <w:fldChar w:fldCharType="begin" w:fldLock="1"/>
      </w:r>
      <w:r w:rsidR="00135DF9">
        <w:rPr>
          <w:rFonts w:ascii="Times New Roman" w:eastAsia="Merriweather" w:hAnsi="Times New Roman" w:cs="Times New Roman"/>
          <w:iCs/>
          <w:lang w:val="en-US"/>
        </w:rPr>
        <w:instrText>ADDIN CSL_CITATION {"citationItems":[{"id":"ITEM-1","itemData":{"DOI":"10.1080/1343943X.2020.1742581","ISSN":"13491008","abstract":"High temperatures during seed development can affect the seed yield and quality in many crops. Here, we analyzed how high temperature alters the main seed storage compounds (lipid and protein) in soybean. At five days after R5 stage (initial seed filling stage), soybean plants were treated with control (20/20ºC day/night) and high temperature (30/30ºC day/night). After treatment, immature seed was sampled, analyzed for lipid and protein contents and for expression of seed storage compounds related genes. High temperature during seed filling increased lipid content but decreased protein content, associating with yield reduction. It increased the expression of two genes related to seed lipid biosynthesis (GmBCCP2 and GmKAS1) and genes for a lipid biosynthesis regulator (GmWRI1) and its transcription factor (GmDREBL), and decreased the expression of genes related to lipid degradation such as GmACXs. High temperature downregulated genes related to seed storage protein (GmGy1, GmGy2, GmGy4, GmGy5 and Gmβ-conglycinin) and upregulated genes for cysteine and aspartate proteinases. Therefore, high temperature during seed filling preferentially accumulates lipid than protein content in seed, although seed yield reduction was associated with lower seed protein content in soybean. Our study provides insights for further improvements of soybean seed oil under abiotic stress such as heat stress. Abbreviations: DAT: days after treatment; TF: transcription factor; DREBL: Dehydration-responsive Element-binding L; WRI1: Wrinkled 1; PK: Ketoacyl acyl carrier protein synthase 1; PEP: phosphoenolpyruvate; BCCP2: Biotin carboxyl carrier protein; KAS1: ketoacyl acyl carrier protein synthase 1; ACX: Acyl-coenzyme A peroxidase; MS: Malate synthase; PEPCK: Phosphoenolpyruvate carboxykinase; Gy: Glycinin; CysP: Cysteine Proteinase; SoyAP: Aspartic Proteinase; EF1b: Elongation factor 1b.","author":[{"dropping-particle":"","family":"Nakagawa","given":"Andressa C.S.","non-dropping-particle":"","parse-names":false,"suffix":""},{"dropping-particle":"","family":"Ario","given":"Nobuyuki","non-dropping-particle":"","parse-names":false,"suffix":""},{"dropping-particle":"","family":"Tomita","given":"Yuki","non-dropping-particle":"","parse-names":false,"suffix":""},{"dropping-particle":"","family":"Tanaka","given":"Seiya","non-dropping-particle":"","parse-names":false,"suffix":""},{"dropping-particle":"","family":"Murayama","given":"Naoki","non-dropping-particle":"","parse-names":false,"suffix":""},{"dropping-particle":"","family":"Mizuta","given":"Chiaki","non-dropping-particle":"","parse-names":false,"suffix":""},{"dropping-particle":"","family":"Iwaya-Inoue","given":"Mari","non-dropping-particle":"","parse-names":false,"suffix":""},{"dropping-particle":"","family":"Ishibashi","given":"Yushi","non-dropping-particle":"","parse-names":false,"suffix":""}],"container-title":"Plant Production Science","id":"ITEM-1","issue":"4","issued":{"date-parts":[["2020"]]},"page":"504-512","publisher":"Taylor &amp; Francis","title":"High temperature during soybean seed development differentially alters lipid and protein metabolism","type":"article-journal","volume":"23"},"uris":["http://www.mendeley.com/documents/?uuid=62c55279-4e42-448d-8ca5-b6cff58186f1"]}],"mendeley":{"formattedCitation":"(Nakagawa et al., 2020)","plainTextFormattedCitation":"(Nakagawa et al., 2020)","previouslyFormattedCitation":"(Nakagawa et al., 2020)"},"properties":{"noteIndex":0},"schema":"https://github.com/citation-style-language/schema/raw/master/csl-citation.json"}</w:instrText>
      </w:r>
      <w:r w:rsidR="007B1E4E" w:rsidRPr="000E67DC">
        <w:rPr>
          <w:rStyle w:val="FootnoteReference"/>
          <w:rFonts w:ascii="Times New Roman" w:eastAsia="Merriweather" w:hAnsi="Times New Roman" w:cs="Times New Roman"/>
          <w:iCs/>
          <w:lang w:val="en-US"/>
        </w:rPr>
        <w:fldChar w:fldCharType="separate"/>
      </w:r>
      <w:r w:rsidR="00451B4E" w:rsidRPr="00135DF9">
        <w:rPr>
          <w:rFonts w:ascii="Times New Roman" w:eastAsia="Merriweather" w:hAnsi="Times New Roman" w:cs="Times New Roman"/>
          <w:bCs/>
          <w:iCs/>
          <w:noProof/>
          <w:lang w:val="en-US"/>
        </w:rPr>
        <w:t>(Nakagawa et al., 2020)</w:t>
      </w:r>
      <w:r w:rsidR="007B1E4E" w:rsidRPr="000E67DC">
        <w:rPr>
          <w:rStyle w:val="FootnoteReference"/>
          <w:rFonts w:ascii="Times New Roman" w:eastAsia="Merriweather" w:hAnsi="Times New Roman" w:cs="Times New Roman"/>
          <w:iCs/>
          <w:lang w:val="en-US"/>
        </w:rPr>
        <w:fldChar w:fldCharType="end"/>
      </w:r>
      <w:r w:rsidR="00B96EE4" w:rsidRPr="000E67DC">
        <w:rPr>
          <w:rFonts w:ascii="Times New Roman" w:eastAsia="Merriweather" w:hAnsi="Times New Roman" w:cs="Times New Roman"/>
          <w:iCs/>
          <w:lang w:val="en-US"/>
        </w:rPr>
        <w:t xml:space="preserve">. Genotypes with a longer seed filling period, such as </w:t>
      </w:r>
      <w:r w:rsidR="00B96EE4" w:rsidRPr="000E67DC">
        <w:rPr>
          <w:rFonts w:ascii="Times New Roman" w:eastAsia="Merriweather" w:hAnsi="Times New Roman" w:cs="Times New Roman"/>
          <w:lang w:val="en-US"/>
        </w:rPr>
        <w:t>Deja 1</w:t>
      </w:r>
      <w:r w:rsidR="00B96EE4" w:rsidRPr="000E67DC">
        <w:rPr>
          <w:rFonts w:ascii="Times New Roman" w:eastAsia="Merriweather" w:hAnsi="Times New Roman" w:cs="Times New Roman"/>
          <w:iCs/>
          <w:lang w:val="en-US"/>
        </w:rPr>
        <w:t xml:space="preserve"> (26.0 days) and </w:t>
      </w:r>
      <w:r w:rsidR="00B96EE4" w:rsidRPr="000E67DC">
        <w:rPr>
          <w:rFonts w:ascii="Times New Roman" w:eastAsia="Merriweather" w:hAnsi="Times New Roman" w:cs="Times New Roman"/>
          <w:lang w:val="en-US"/>
        </w:rPr>
        <w:t>Demas 1</w:t>
      </w:r>
      <w:r w:rsidR="00B96EE4" w:rsidRPr="000E67DC">
        <w:rPr>
          <w:rFonts w:ascii="Times New Roman" w:eastAsia="Merriweather" w:hAnsi="Times New Roman" w:cs="Times New Roman"/>
          <w:iCs/>
          <w:lang w:val="en-US"/>
        </w:rPr>
        <w:t xml:space="preserve"> (25.7 days), tend to produce higher-quality seeds, as they have more time to accumulate biomass in the seeds</w:t>
      </w:r>
      <w:r w:rsidR="002638DB" w:rsidRPr="000E67DC">
        <w:rPr>
          <w:rFonts w:ascii="Times New Roman" w:eastAsia="Merriweather" w:hAnsi="Times New Roman" w:cs="Times New Roman"/>
          <w:iCs/>
          <w:lang w:val="en-US"/>
        </w:rPr>
        <w:t xml:space="preserve"> </w:t>
      </w:r>
      <w:r w:rsidR="007B1E4E" w:rsidRPr="000E67DC">
        <w:rPr>
          <w:rStyle w:val="FootnoteReference"/>
          <w:rFonts w:ascii="Times New Roman" w:eastAsia="Merriweather" w:hAnsi="Times New Roman" w:cs="Times New Roman"/>
          <w:iCs/>
          <w:lang w:val="en-US"/>
        </w:rPr>
        <w:fldChar w:fldCharType="begin" w:fldLock="1"/>
      </w:r>
      <w:r w:rsidR="00135DF9">
        <w:rPr>
          <w:rFonts w:ascii="Times New Roman" w:eastAsia="Merriweather" w:hAnsi="Times New Roman" w:cs="Times New Roman"/>
          <w:iCs/>
          <w:lang w:val="en-US"/>
        </w:rPr>
        <w:instrText>ADDIN CSL_CITATION {"citationItems":[{"id":"ITEM-1","itemData":{"DOI":"10.3389/fpls.2016.01175","ISSN":"1664462X","abstract":"In the current context of food security, increase of plant protein production in a sustainable manner represents one of the major challenges of agronomic research, which could be partially resolved by increased cultivation of legume crops. Medicago truncatula is now a well-established model for legume genomic and genetic studies. With the establishment of genomics tools and mutant populations in M. truncatula, it has become an important resource to answer some of the basic biological questions related to plant development and stress tolerance. This review has an objective to overview a decade of genetic studies in this model plant from generation of mutant populations to nowadays. To date, the three biological fields, which have been extensively studied in M. truncatula, are the symbiotic nitrogen fixation, the seed development, and the abiotic stress tolerance, due to their significant agronomic impacts. In this review, we summarize functional genetic studies related to these three major biological fields. We integrated analyses of a nearly exhaustive list of genes into their biological contexts in order to provide an overview of the forefront research advances in this important legume model plant.","author":[{"dropping-particle":"","family":"Kang","given":"Yun","non-dropping-particle":"","parse-names":false,"suffix":""},{"dropping-particle":"","family":"Li","given":"Minguye","non-dropping-particle":"","parse-names":false,"suffix":""},{"dropping-particle":"","family":"Sinharoy","given":"Senjuti","non-dropping-particle":"","parse-names":false,"suffix":""},{"dropping-particle":"","family":"Verdier","given":"Jerome","non-dropping-particle":"","parse-names":false,"suffix":""}],"container-title":"Frontiers in Plant Science","id":"ITEM-1","issue":"AUG2016","issued":{"date-parts":[["2016"]]},"title":"A snapshot of functional genetic studies in Medicago truncatula","type":"article-journal","volume":"7"},"uris":["http://www.mendeley.com/documents/?uuid=37874b4e-fb70-4366-91c1-bc5143ddb3ba"]}],"mendeley":{"formattedCitation":"(Kang et al., 2016)","plainTextFormattedCitation":"(Kang et al., 2016)","previouslyFormattedCitation":"(Kang et al., 2016)"},"properties":{"noteIndex":0},"schema":"https://github.com/citation-style-language/schema/raw/master/csl-citation.json"}</w:instrText>
      </w:r>
      <w:r w:rsidR="007B1E4E" w:rsidRPr="000E67DC">
        <w:rPr>
          <w:rStyle w:val="FootnoteReference"/>
          <w:rFonts w:ascii="Times New Roman" w:eastAsia="Merriweather" w:hAnsi="Times New Roman" w:cs="Times New Roman"/>
          <w:iCs/>
          <w:lang w:val="en-US"/>
        </w:rPr>
        <w:fldChar w:fldCharType="separate"/>
      </w:r>
      <w:r w:rsidR="00451B4E" w:rsidRPr="00135DF9">
        <w:rPr>
          <w:rFonts w:ascii="Times New Roman" w:eastAsia="Merriweather" w:hAnsi="Times New Roman" w:cs="Times New Roman"/>
          <w:bCs/>
          <w:iCs/>
          <w:noProof/>
          <w:lang w:val="en-US"/>
        </w:rPr>
        <w:t>(Kang et al., 2016)</w:t>
      </w:r>
      <w:r w:rsidR="007B1E4E" w:rsidRPr="000E67DC">
        <w:rPr>
          <w:rStyle w:val="FootnoteReference"/>
          <w:rFonts w:ascii="Times New Roman" w:eastAsia="Merriweather" w:hAnsi="Times New Roman" w:cs="Times New Roman"/>
          <w:iCs/>
          <w:lang w:val="en-US"/>
        </w:rPr>
        <w:fldChar w:fldCharType="end"/>
      </w:r>
      <w:r w:rsidR="00B96EE4" w:rsidRPr="000E67DC">
        <w:rPr>
          <w:rFonts w:ascii="Times New Roman" w:eastAsia="Merriweather" w:hAnsi="Times New Roman" w:cs="Times New Roman"/>
          <w:iCs/>
          <w:lang w:val="en-US"/>
        </w:rPr>
        <w:t xml:space="preserve">. However, genotypes like </w:t>
      </w:r>
      <w:r w:rsidR="00B96EE4" w:rsidRPr="000E67DC">
        <w:rPr>
          <w:rFonts w:ascii="Times New Roman" w:eastAsia="Merriweather" w:hAnsi="Times New Roman" w:cs="Times New Roman"/>
          <w:lang w:val="en-US"/>
        </w:rPr>
        <w:t>Gepak Kuning</w:t>
      </w:r>
      <w:r w:rsidR="00B96EE4" w:rsidRPr="000E67DC">
        <w:rPr>
          <w:rFonts w:ascii="Times New Roman" w:eastAsia="Merriweather" w:hAnsi="Times New Roman" w:cs="Times New Roman"/>
          <w:iCs/>
          <w:lang w:val="en-US"/>
        </w:rPr>
        <w:t>, with a shorter SFP (20.3 days), may result in smaller seeds or suboptimal seed filling. This period is crucial as it is the stage where seed size and quality are actively determined.</w:t>
      </w:r>
    </w:p>
    <w:p w14:paraId="51ED3720" w14:textId="2B056DCA" w:rsidR="00350F51" w:rsidRPr="000E67DC" w:rsidRDefault="00350F51" w:rsidP="00350F51">
      <w:pPr>
        <w:spacing w:after="0" w:line="240" w:lineRule="auto"/>
        <w:ind w:firstLine="720"/>
        <w:jc w:val="both"/>
        <w:rPr>
          <w:rFonts w:ascii="Times New Roman" w:eastAsia="Merriweather" w:hAnsi="Times New Roman" w:cs="Times New Roman"/>
          <w:iCs/>
          <w:lang w:val="en-US"/>
        </w:rPr>
      </w:pPr>
      <w:r w:rsidRPr="000E67DC">
        <w:rPr>
          <w:rFonts w:ascii="Times New Roman" w:eastAsia="Merriweather" w:hAnsi="Times New Roman" w:cs="Times New Roman"/>
          <w:iCs/>
        </w:rPr>
        <w:t xml:space="preserve">The estimated of variance components (Table 5) indicates that the phenotypic variance is greater than the genotypic variance, but the difference is not statistically significant. Consequently, the heritability estimates for the traits are relatively high, such as for W100 (0.95) and NSP (0.91), suggesting that the inheritance pattern of these traits is not influenced by environmental factors. These findings align with previous research on black bean </w:t>
      </w:r>
      <w:r w:rsidRPr="000E67DC">
        <w:rPr>
          <w:rFonts w:ascii="Times New Roman" w:eastAsia="Merriweather" w:hAnsi="Times New Roman" w:cs="Times New Roman"/>
          <w:iCs/>
        </w:rPr>
        <w:fldChar w:fldCharType="begin" w:fldLock="1"/>
      </w:r>
      <w:r w:rsidR="00135DF9">
        <w:rPr>
          <w:rFonts w:ascii="Times New Roman" w:eastAsia="Merriweather" w:hAnsi="Times New Roman" w:cs="Times New Roman"/>
          <w:iCs/>
        </w:rPr>
        <w:instrText>ADDIN CSL_CITATION {"citationItems":[{"id":"ITEM-1","itemData":{"DOI":"10.1186/s12870-024-05248-5","ISSN":"14712229","PMID":"38858659","abstract":"Common bean provides diet rich in vitamins, fiber, minerals, and protein, which could contribute into food security of needy populations in many countries. Developing genotypes that associate favorable agronomic and grain quality traits in the common bean crop could increase the chances of adopting new cultivars black bean. In this context, the present study aimed at selection of superior black bean lines using multi-variate indexes, Smith-Hazel-index, and genotype by yield*trait biplot analysis. These trials were conducted in Campos dos Goytacazes - RJ, in 2020 and 2021. The experimental design used was randomized blocks, with 28 treatments and three replications. The experimental unit consisted of four rows 4.0 m long, spaced at 0.50 m apart, with a sowing density of 15 seeds per meter. The two central rows were used for the evaluations. The selection of superior genotypes was conducted using the multiple trait stability index (MTSI), multi-trait genotype-ideotype distance index (MGIDI), multi-trait index based on factor analysis and genotype-ideotype distance (FAI-BLUP), Smith-Hazel index, and Genotype by Yield*Trait Biplot (GYT). The multivariate indexes efficiently selected the best black bean genotypes, presenting desirable selection gains for most traits. The use of multivariate indexes and GYT enable the selection of early genotypes with higher grain yields. These lines G9, G13, G17, G23, and G27 were selected based on their performance for multiple traits closest to the ideotype and could be recommended as new varieties.","author":[{"dropping-particle":"","family":"Ambrósio","given":"Moisés","non-dropping-particle":"","parse-names":false,"suffix":""},{"dropping-particle":"","family":"Daher","given":"Rogério Figueiredo","non-dropping-particle":"","parse-names":false,"suffix":""},{"dropping-particle":"","family":"Santos","given":"Raiane Mariani","non-dropping-particle":"","parse-names":false,"suffix":""},{"dropping-particle":"","family":"Santana","given":"Josefa Grasiela Silva","non-dropping-particle":"","parse-names":false,"suffix":""},{"dropping-particle":"","family":"Vidal","given":"Ana Kesia Faria","non-dropping-particle":"","parse-names":false,"suffix":""},{"dropping-particle":"","family":"Nascimento","given":"Maxwel Rodrigues","non-dropping-particle":"","parse-names":false,"suffix":""},{"dropping-particle":"","family":"Leite","given":"Cleudiane Lopes","non-dropping-particle":"","parse-names":false,"suffix":""},{"dropping-particle":"","family":"Souza","given":"Alexandre Gomes","non-dropping-particle":"de","parse-names":false,"suffix":""},{"dropping-particle":"","family":"Freitas","given":"Rafael Souza","non-dropping-particle":"","parse-names":false,"suffix":""},{"dropping-particle":"","family":"Stida","given":"Wanessa Francesconi","non-dropping-particle":"","parse-names":false,"suffix":""},{"dropping-particle":"","family":"Farias","given":"João Esdras Calaça","non-dropping-particle":"","parse-names":false,"suffix":""},{"dropping-particle":"","family":"Souza Filho","given":"Benedito Fernandes","non-dropping-particle":"de","parse-names":false,"suffix":""},{"dropping-particle":"","family":"Melo","given":"Leonardo Cunha","non-dropping-particle":"","parse-names":false,"suffix":""},{"dropping-particle":"","family":"Santos","given":"Paulo Ricardo","non-dropping-particle":"dos","parse-names":false,"suffix":""}],"container-title":"BMC Plant Biology","id":"ITEM-1","issue":"1","issued":{"date-parts":[["2024"]]},"page":"1-12","title":"Multi-trait index: selection and recommendation of superior black bean genotypes as new improved varieties","type":"article-journal","volume":"24"},"uris":["http://www.mendeley.com/documents/?uuid=7dc4c14f-3bf9-461a-ab95-47a31946be52"]}],"mendeley":{"formattedCitation":"(Ambrósio et al., 2024)","plainTextFormattedCitation":"(Ambrósio et al., 2024)","previouslyFormattedCitation":"(Ambrósio et al., 2024)"},"properties":{"noteIndex":0},"schema":"https://github.com/citation-style-language/schema/raw/master/csl-citation.json"}</w:instrText>
      </w:r>
      <w:r w:rsidRPr="000E67DC">
        <w:rPr>
          <w:rFonts w:ascii="Times New Roman" w:eastAsia="Merriweather" w:hAnsi="Times New Roman" w:cs="Times New Roman"/>
          <w:iCs/>
        </w:rPr>
        <w:fldChar w:fldCharType="separate"/>
      </w:r>
      <w:r w:rsidR="00451B4E" w:rsidRPr="00135DF9">
        <w:rPr>
          <w:rFonts w:ascii="Times New Roman" w:eastAsia="Merriweather" w:hAnsi="Times New Roman" w:cs="Times New Roman"/>
          <w:iCs/>
          <w:noProof/>
        </w:rPr>
        <w:t>(Ambrósio et al., 2024)</w:t>
      </w:r>
      <w:r w:rsidRPr="000E67DC">
        <w:rPr>
          <w:rFonts w:ascii="Times New Roman" w:eastAsia="Merriweather" w:hAnsi="Times New Roman" w:cs="Times New Roman"/>
          <w:iCs/>
        </w:rPr>
        <w:fldChar w:fldCharType="end"/>
      </w:r>
      <w:r w:rsidRPr="000E67DC">
        <w:rPr>
          <w:rFonts w:ascii="Times New Roman" w:eastAsia="Merriweather" w:hAnsi="Times New Roman" w:cs="Times New Roman"/>
          <w:iCs/>
        </w:rPr>
        <w:t xml:space="preserve">. </w:t>
      </w:r>
      <w:r w:rsidR="001F29F5" w:rsidRPr="000E67DC">
        <w:rPr>
          <w:rFonts w:ascii="Times New Roman" w:eastAsia="Merriweather" w:hAnsi="Times New Roman" w:cs="Times New Roman"/>
          <w:iCs/>
          <w:lang w:val="en-US"/>
        </w:rPr>
        <w:t xml:space="preserve">For </w:t>
      </w:r>
      <w:r w:rsidRPr="000E67DC">
        <w:rPr>
          <w:rFonts w:ascii="Times New Roman" w:eastAsia="Merriweather" w:hAnsi="Times New Roman" w:cs="Times New Roman"/>
          <w:iCs/>
          <w:lang w:val="en-US"/>
        </w:rPr>
        <w:fldChar w:fldCharType="begin" w:fldLock="1"/>
      </w:r>
      <w:r w:rsidR="00451B4E">
        <w:rPr>
          <w:rFonts w:ascii="Times New Roman" w:eastAsia="Merriweather" w:hAnsi="Times New Roman" w:cs="Times New Roman"/>
          <w:iCs/>
          <w:lang w:val="en-US"/>
        </w:rPr>
        <w:instrText>ADDIN CSL_CITATION {"citationItems":[{"id":"ITEM-1","itemData":{"ISSN":"16783921","abstract":"The objective of this work was to determine the necessary number of replicates, of plants per plot, and of measurements for evaluating growth traits in eucalyptus (Eucalyptus spp.) clonal tests. Data on height, diameter at breast height, and wood volume were evaluated in three clonal tests, performed in a randomized complete block design with 30 (tests 1 and 2) and 10 clones (test 3), with six replicates of six (test 1) and 10 (tests 2 and 3) plants. The evaluations were performed from 14 to 74 months of age. The coefficients of repeatability and determination were estimated, as well as the effects of increasing measurement frequency on selective efficiency. Wood volume is the trait with the greatest variability in the plot and the lowest repeatability; therefore, it requires more plants to obtain high accuracy in the estimate of the individual's true value. In Eucalyptus grandis x E. urophylla hybrid clonal tests, the use of three replicates of six plants per plot and of three evaluations, at ages above 2 years, is recommended in order to achieve a selective accuracy around 90%.","author":[{"dropping-particle":"","family":"Resende","given":"Marcos Deon Vilela","non-dropping-particle":"","parse-names":false,"suffix":""}],"container-title":"Pesquisa Agropecuaria Brasileira","id":"ITEM-1","issue":"10","issued":{"date-parts":[["2002"]]},"title":"Genética biométrica e estatística no melhoramento\nde plantas perenes","type":"book"},"uris":["http://www.mendeley.com/documents/?uuid=0d8933df-434c-335b-977f-c060146b4fc9"]}],"mendeley":{"formattedCitation":"(Resende, 2002)","manualFormatting":"Resende, (2002)","plainTextFormattedCitation":"(Resende, 2002)","previouslyFormattedCitation":"(Resende, 2002)"},"properties":{"noteIndex":0},"schema":"https://github.com/citation-style-language/schema/raw/master/csl-citation.json"}</w:instrText>
      </w:r>
      <w:r w:rsidRPr="000E67DC">
        <w:rPr>
          <w:rFonts w:ascii="Times New Roman" w:eastAsia="Merriweather" w:hAnsi="Times New Roman" w:cs="Times New Roman"/>
          <w:iCs/>
          <w:lang w:val="en-US"/>
        </w:rPr>
        <w:fldChar w:fldCharType="separate"/>
      </w:r>
      <w:r w:rsidRPr="000E67DC">
        <w:rPr>
          <w:rFonts w:ascii="Times New Roman" w:eastAsia="Merriweather" w:hAnsi="Times New Roman" w:cs="Times New Roman"/>
          <w:iCs/>
          <w:noProof/>
          <w:lang w:val="en-US"/>
        </w:rPr>
        <w:t>Resende, (2002)</w:t>
      </w:r>
      <w:r w:rsidRPr="000E67DC">
        <w:rPr>
          <w:rFonts w:ascii="Times New Roman" w:eastAsia="Merriweather" w:hAnsi="Times New Roman" w:cs="Times New Roman"/>
          <w:iCs/>
          <w:lang w:val="en-US"/>
        </w:rPr>
        <w:fldChar w:fldCharType="end"/>
      </w:r>
      <w:r w:rsidR="001F29F5" w:rsidRPr="000E67DC">
        <w:rPr>
          <w:rFonts w:ascii="Times New Roman" w:eastAsia="Merriweather" w:hAnsi="Times New Roman" w:cs="Times New Roman"/>
          <w:iCs/>
          <w:lang w:val="en-US"/>
        </w:rPr>
        <w:t>, heritability is classified as low (h &lt; 0.15), median (0.15 &lt; h &lt; 0.50), and high magnitude (h &gt; 0.50).</w:t>
      </w:r>
      <w:r w:rsidRPr="000E67DC">
        <w:rPr>
          <w:rFonts w:ascii="Times New Roman" w:eastAsia="Merriweather" w:hAnsi="Times New Roman" w:cs="Times New Roman"/>
          <w:iCs/>
          <w:lang w:val="en-US"/>
        </w:rPr>
        <w:t xml:space="preserve"> </w:t>
      </w:r>
      <w:r w:rsidRPr="000E67DC">
        <w:rPr>
          <w:rFonts w:ascii="Times New Roman" w:eastAsia="Merriweather" w:hAnsi="Times New Roman" w:cs="Times New Roman"/>
          <w:iCs/>
        </w:rPr>
        <w:t>The genotypic coefficient of variation (CVɡ) is lower than the residual coefficient of variation (CVr) for the traits WST, SFP, and R1-R8, indicate that these traits are less effective for selecting superior genotypes at this stage of the breeding program.</w:t>
      </w:r>
      <w:bookmarkEnd w:id="1"/>
    </w:p>
    <w:p w14:paraId="60C7079C" w14:textId="5C69D6CE" w:rsidR="00E77FA8" w:rsidRDefault="00E77FA8" w:rsidP="00E77FA8">
      <w:pPr>
        <w:spacing w:after="0" w:line="240" w:lineRule="auto"/>
        <w:ind w:firstLine="720"/>
        <w:jc w:val="both"/>
        <w:rPr>
          <w:rFonts w:ascii="Times New Roman" w:eastAsia="Merriweather" w:hAnsi="Times New Roman" w:cs="Times New Roman"/>
          <w:iCs/>
          <w:sz w:val="20"/>
          <w:szCs w:val="20"/>
          <w:lang w:val="en-US"/>
        </w:rPr>
        <w:sectPr w:rsidR="00E77FA8" w:rsidSect="00FF183A">
          <w:type w:val="continuous"/>
          <w:pgSz w:w="11907" w:h="16840"/>
          <w:pgMar w:top="1134" w:right="1134" w:bottom="1134" w:left="1418" w:header="907" w:footer="907" w:gutter="0"/>
          <w:cols w:space="288"/>
        </w:sectPr>
      </w:pPr>
      <w:r w:rsidRPr="000E67DC">
        <w:rPr>
          <w:rFonts w:ascii="Times New Roman" w:eastAsia="Book Antiqua" w:hAnsi="Times New Roman" w:cs="Times New Roman"/>
          <w:iCs/>
        </w:rPr>
        <w:t xml:space="preserve">Pearson’s correlation analysis among traits is presented in a network plot. Blue colors represent positive correlations while red colors indicate negative correlations. Figure 2 shows that Yield is positively correlated with PH, WB, and WSP, whereas W100 is negatively correlated with NSP. The network plot reveals that Yield, PH, WB, and WSP were nearby in one cluster. Similarly, GP, SFP, and WST are nearby in another cluster, while W100 and NSP form a separate cluster. The proximity of traits in the plots was determined by using multidimensional clustering </w:t>
      </w:r>
      <w:r w:rsidRPr="000E67DC">
        <w:rPr>
          <w:rFonts w:ascii="Times New Roman" w:eastAsia="Book Antiqua" w:hAnsi="Times New Roman" w:cs="Times New Roman"/>
          <w:iCs/>
        </w:rPr>
        <w:fldChar w:fldCharType="begin" w:fldLock="1"/>
      </w:r>
      <w:r>
        <w:rPr>
          <w:rFonts w:ascii="Times New Roman" w:eastAsia="Book Antiqua" w:hAnsi="Times New Roman" w:cs="Times New Roman"/>
          <w:iCs/>
        </w:rPr>
        <w:instrText>ADDIN CSL_CITATION {"citationItems":[{"id":"ITEM-1","itemData":{"DOI":"10.2307/2333639","ISSN":"00063444","abstract":"This paper is concerned with the representation of a multivariate sample of size n as points P1, P2, …, Pn in a Euclidean space. The interpretation of the distance Δ(Pi, Pj) between the ith and jth members of the sample is discussed for some commonly used types of analysis, including both Q and R techniques. When all the distances between n points are known a method is derived which finds their co-ordinates referred to principal axes. A set of necessary and sufficient conditions for a solution to exist in real Euclidean sapce is found. Q and R techniques are defined as being dual to one another when they both lead to a set of n points with the same inter-point distances. Pairs of dual techniques are derived. In factor analysis the distances between points whose co-ordinrates are the estimated factor scores can be interpreted as D2 with a singular dispersion matrix.","author":[{"dropping-particle":"","family":"Gower","given":"J. C.","non-dropping-particle":"","parse-names":false,"suffix":""}],"container-title":"Biometrika","id":"ITEM-1","issue":"3/4","issued":{"date-parts":[["1966"]]},"page":"325","title":"Some Distance Properties of Latent Root and Vector Methods Used in Multivariate Analysis","type":"article-journal","volume":"53"},"uris":["http://www.mendeley.com/documents/?uuid=d03a6c11-ede6-47b5-87cc-469d72313cc7"]}],"mendeley":{"formattedCitation":"(Gower, 1966)","plainTextFormattedCitation":"(Gower, 1966)","previouslyFormattedCitation":"(Gower, 1966)"},"properties":{"noteIndex":0},"schema":"https://github.com/citation-style-language/schema/raw/master/csl-citation.json"}</w:instrText>
      </w:r>
      <w:r w:rsidRPr="000E67DC">
        <w:rPr>
          <w:rFonts w:ascii="Times New Roman" w:eastAsia="Book Antiqua" w:hAnsi="Times New Roman" w:cs="Times New Roman"/>
          <w:iCs/>
        </w:rPr>
        <w:fldChar w:fldCharType="separate"/>
      </w:r>
      <w:r w:rsidRPr="002D2D54">
        <w:rPr>
          <w:rFonts w:ascii="Times New Roman" w:eastAsia="Book Antiqua" w:hAnsi="Times New Roman" w:cs="Times New Roman"/>
          <w:iCs/>
          <w:noProof/>
        </w:rPr>
        <w:t>(Gower, 1966)</w:t>
      </w:r>
      <w:r w:rsidRPr="000E67DC">
        <w:rPr>
          <w:rFonts w:ascii="Times New Roman" w:eastAsia="Book Antiqua" w:hAnsi="Times New Roman" w:cs="Times New Roman"/>
        </w:rPr>
        <w:fldChar w:fldCharType="end"/>
      </w:r>
      <w:r w:rsidRPr="000E67DC">
        <w:rPr>
          <w:rFonts w:ascii="Times New Roman" w:eastAsia="Book Antiqua" w:hAnsi="Times New Roman" w:cs="Times New Roman"/>
          <w:iCs/>
        </w:rPr>
        <w:t xml:space="preserve">. Similar Pearson’s correlations were performed on maize </w:t>
      </w:r>
      <w:r w:rsidRPr="000E67DC">
        <w:rPr>
          <w:rFonts w:ascii="Times New Roman" w:eastAsia="Book Antiqua" w:hAnsi="Times New Roman" w:cs="Times New Roman"/>
          <w:iCs/>
        </w:rPr>
        <w:fldChar w:fldCharType="begin" w:fldLock="1"/>
      </w:r>
      <w:r>
        <w:rPr>
          <w:rFonts w:ascii="Times New Roman" w:eastAsia="Book Antiqua" w:hAnsi="Times New Roman" w:cs="Times New Roman"/>
          <w:iCs/>
        </w:rPr>
        <w:instrText>ADDIN CSL_CITATION {"citationItems":[{"id":"ITEM-1","itemData":{"DOI":"10.3389/fpls.2023.1147424","ISSN":"1664462X","abstract":"Unpredictable weather vagaries in the Asian tropics often increase the risk of a series of abiotic stresses in maize-growing areas, hindering the efforts to reach the projected demands. Breeding climate-resilient maize hybrids with a cross-tolerance to drought and waterlogging is necessary yet challenging because of the presence of genotype-by-environment interaction (GEI) and the lack of an efficient multi-trait-based selection technique. The present study aimed at estimating the variance components, genetic parameters, inter-trait relations, and expected selection gains (SGs) across the soil moisture regimes through genotype selection obtained based on the novel multi-trait genotype–ideotype distance index (MGIDI) for a set of 75 tropical pre-released maize hybrids. Twelve traits including grain yield and other secondary characteristics for experimental maize hybrids were studied at two locations. Positive and negative SGs were estimated across moisture regimes, including drought, waterlogging, and optimal moisture conditions. Hybrid, moisture condition, and hybrid-by-moisture condition interaction effects were significant (p ≤ 0.001) for most of the traits studied. Eleven genotypes were selected in each moisture condition through MGIDI by assuming 15% selection intensity where two hybrids, viz., ZH161289 and ZH161303, were found to be common across all the moisture regimes, indicating their moisture stress resilience, a unique potential for broader adaptation in rainfed stress-vulnerable ecologies. The selected hybrids showed desired genetic gains such as positive gains for grain yield (almost 11% in optimal and drought; 22% in waterlogging) and negative gains in flowering traits. The view on strengths and weaknesses as depicted by the MGIDI assists the breeders to develop maize hybrids with desired traits, such as grain yield and other yield contributors under specific stress conditions. The MGIDI would be a robust and easy-to-handle multi-trait selection process under various test environments with minimal multicollinearity issues. It was found to be a powerful tool in developing better selection strategies and optimizing the breeding scheme, thus contributing to the development of climate-resilient maize hybrids.","author":[{"dropping-particle":"","family":"Singamsetti","given":"Ashok","non-dropping-particle":"","parse-names":false,"suffix":""},{"dropping-particle":"","family":"Zaidi","given":"Pervez H.","non-dropping-particle":"","parse-names":false,"suffix":""},{"dropping-particle":"","family":"Seetharam","given":"Kaliyamoorthy","non-dropping-particle":"","parse-names":false,"suffix":""},{"dropping-particle":"","family":"Vinayan","given":"Madhumal Thayil","non-dropping-particle":"","parse-names":false,"suffix":""},{"dropping-particle":"","family":"Olivoto","given":"Tiago","non-dropping-particle":"","parse-names":false,"suffix":""},{"dropping-particle":"","family":"Mahato","given":"Anima","non-dropping-particle":"","parse-names":false,"suffix":""},{"dropping-particle":"","family":"Madankar","given":"Kartik","non-dropping-particle":"","parse-names":false,"suffix":""},{"dropping-particle":"","family":"Kumar","given":"Munnesh","non-dropping-particle":"","parse-names":false,"suffix":""},{"dropping-particle":"","family":"Shikha","given":"Kumari","non-dropping-particle":"","parse-names":false,"suffix":""}],"container-title":"Frontiers in Plant Science","id":"ITEM-1","issue":"March","issued":{"date-parts":[["2023"]]},"page":"1-16","title":"Genetic gains in tropical maize hybrids across moisture regimes with multi-trait-based index selection","type":"article-journal","volume":"14"},"uris":["http://www.mendeley.com/documents/?uuid=5040251e-e43e-4c5e-b9aa-8d765e918478"]}],"mendeley":{"formattedCitation":"(Singamsetti et al., 2023)","plainTextFormattedCitation":"(Singamsetti et al., 2023)","previouslyFormattedCitation":"(Singamsetti et al., 2023)"},"properties":{"noteIndex":0},"schema":"https://github.com/citation-style-language/schema/raw/master/csl-citation.json"}</w:instrText>
      </w:r>
      <w:r w:rsidRPr="000E67DC">
        <w:rPr>
          <w:rFonts w:ascii="Times New Roman" w:eastAsia="Book Antiqua" w:hAnsi="Times New Roman" w:cs="Times New Roman"/>
          <w:iCs/>
        </w:rPr>
        <w:fldChar w:fldCharType="separate"/>
      </w:r>
      <w:r w:rsidRPr="00135DF9">
        <w:rPr>
          <w:rFonts w:ascii="Times New Roman" w:eastAsia="Book Antiqua" w:hAnsi="Times New Roman" w:cs="Times New Roman"/>
          <w:iCs/>
          <w:noProof/>
        </w:rPr>
        <w:t>(Singamsetti et al., 2023)</w:t>
      </w:r>
      <w:r w:rsidRPr="000E67DC">
        <w:rPr>
          <w:rFonts w:ascii="Times New Roman" w:eastAsia="Book Antiqua" w:hAnsi="Times New Roman" w:cs="Times New Roman"/>
        </w:rPr>
        <w:fldChar w:fldCharType="end"/>
      </w:r>
      <w:r w:rsidRPr="000E67DC">
        <w:rPr>
          <w:rFonts w:ascii="Times New Roman" w:eastAsia="Book Antiqua" w:hAnsi="Times New Roman" w:cs="Times New Roman"/>
          <w:iCs/>
        </w:rPr>
        <w:t xml:space="preserve"> and Pearl Millet </w:t>
      </w:r>
      <w:r w:rsidRPr="000E67DC">
        <w:rPr>
          <w:rFonts w:ascii="Times New Roman" w:eastAsia="Book Antiqua" w:hAnsi="Times New Roman" w:cs="Times New Roman"/>
          <w:iCs/>
        </w:rPr>
        <w:fldChar w:fldCharType="begin" w:fldLock="1"/>
      </w:r>
      <w:r>
        <w:rPr>
          <w:rFonts w:ascii="Times New Roman" w:eastAsia="Book Antiqua" w:hAnsi="Times New Roman" w:cs="Times New Roman"/>
          <w:iCs/>
        </w:rPr>
        <w:instrText>ADDIN CSL_CITATION {"citationItems":[{"id":"ITEM-1","itemData":{"DOI":"10.3390/plants13081101","ISSN":"22237747","abstract":"Pearl millet stands as an important staple food and feed for arid and semi-arid regions of India and South Africa. It is also a quick supplier of important micronutrients like Fe and Zn via grain to combat micronutrient deficiencies among people in developing countries. India has notably spearheaded advancements in pearl millet production and productivity through the All India Coordinated Pearl Millet Improvement Project. There were 21 hybrids evaluated over arid and semi-arid ecologies of the western and southern regions of India. AMMI and GGE biplot models were adopted to recommend a specific hybrid for the particular locality. A joint analysis of variation indicated a significant genotype–environment interaction for most of the agronomical and grain micronutrient parameters. Pearson’s correlation values dissected the significant and positive correlation among agronomic traits and the negative correlation with grain micronutrient traits. GGE biplot analysis recommended the SHT 106 as a dual-purpose hybrid and SHT 115 as a biofortified hybrid for the grain’s Fe and Zn content. SHT 110 and SHT 108 were selected as stable and high grain yield-producing hybrids across all environments and specifically for E1, E2, and E4 as per the Which-Won-Where and What biplot. SHT 109 and SHT 103 hybrids were stable and high dry fodder yield-producing hybrids across all environments. In this study, the Multi-Trait Stability Index (MTSI) was employed to select the most stable and high-performing hybrids for all traits. It selected SHT 120, SHT 106, and SHT 104 for stability and great performance across all environments. These findings underscored the significance of tailored hybrid recommendations and the potential of pearl millet in addressing both food security and malnutrition challenges in various agro-ecological regions.","author":[{"dropping-particle":"","family":"Khandelwal","given":"Vikas","non-dropping-particle":"","parse-names":false,"suffix":""},{"dropping-particle":"","family":"Patel","given":"Rumit","non-dropping-particle":"","parse-names":false,"suffix":""},{"dropping-particle":"","family":"Choudhary","given":"Khushwant B.","non-dropping-particle":"","parse-names":false,"suffix":""},{"dropping-particle":"","family":"Pawar","given":"S. B.","non-dropping-particle":"","parse-names":false,"suffix":""},{"dropping-particle":"","family":"Patel","given":"M. S.","non-dropping-particle":"","parse-names":false,"suffix":""},{"dropping-particle":"","family":"Iyanar","given":"K.","non-dropping-particle":"","parse-names":false,"suffix":""},{"dropping-particle":"","family":"Mungra","given":"K. D.","non-dropping-particle":"","parse-names":false,"suffix":""},{"dropping-particle":"","family":"Kumar","given":"Sushil","non-dropping-particle":"","parse-names":false,"suffix":""},{"dropping-particle":"","family":"Satyavathi","given":"C. Tara","non-dropping-particle":"","parse-names":false,"suffix":""}],"container-title":"Plants","id":"ITEM-1","issue":"8","issued":{"date-parts":[["2024"]]},"page":"1-22","title":"Stability Analysis and Identification of Superior Hybrids in Pearl Millet [Pennisetum glaucum (L.) R. Br.] Using the Multi Trait Stability Index","type":"article-journal","volume":"13"},"uris":["http://www.mendeley.com/documents/?uuid=ca43565b-b9fd-469d-9a72-ce74d43e62df"]}],"mendeley":{"formattedCitation":"(Khandelwal et al., 2024)","plainTextFormattedCitation":"(Khandelwal et al., 2024)","previouslyFormattedCitation":"(Khandelwal et al., 2024)"},"properties":{"noteIndex":0},"schema":"https://github.com/citation-style-language/schema/raw/master/csl-citation.json"}</w:instrText>
      </w:r>
      <w:r w:rsidRPr="000E67DC">
        <w:rPr>
          <w:rFonts w:ascii="Times New Roman" w:eastAsia="Book Antiqua" w:hAnsi="Times New Roman" w:cs="Times New Roman"/>
          <w:iCs/>
        </w:rPr>
        <w:fldChar w:fldCharType="separate"/>
      </w:r>
      <w:r w:rsidRPr="00135DF9">
        <w:rPr>
          <w:rFonts w:ascii="Times New Roman" w:eastAsia="Book Antiqua" w:hAnsi="Times New Roman" w:cs="Times New Roman"/>
          <w:iCs/>
          <w:noProof/>
        </w:rPr>
        <w:t>(Khandelwal et al., 2024)</w:t>
      </w:r>
      <w:r w:rsidRPr="000E67DC">
        <w:rPr>
          <w:rFonts w:ascii="Times New Roman" w:eastAsia="Book Antiqua" w:hAnsi="Times New Roman" w:cs="Times New Roman"/>
        </w:rPr>
        <w:fldChar w:fldCharType="end"/>
      </w:r>
      <w:r w:rsidRPr="000E67DC">
        <w:rPr>
          <w:rFonts w:ascii="Times New Roman" w:eastAsia="Book Antiqua" w:hAnsi="Times New Roman" w:cs="Times New Roman"/>
          <w:iCs/>
        </w:rPr>
        <w:t>. The visualization of correlations using a network plot facilitates rapid interpretation of the analysis results</w:t>
      </w:r>
      <w:r>
        <w:rPr>
          <w:rFonts w:ascii="Times New Roman" w:eastAsia="Book Antiqua" w:hAnsi="Times New Roman" w:cs="Times New Roman"/>
          <w:iCs/>
        </w:rPr>
        <w:t>.</w:t>
      </w:r>
    </w:p>
    <w:p w14:paraId="3C0D3719" w14:textId="77777777" w:rsidR="00E77FA8" w:rsidRPr="000E67DC" w:rsidRDefault="00E77FA8" w:rsidP="00E77FA8">
      <w:pPr>
        <w:spacing w:after="0" w:line="240" w:lineRule="auto"/>
        <w:ind w:firstLine="426"/>
        <w:jc w:val="both"/>
        <w:rPr>
          <w:rFonts w:ascii="Times New Roman" w:eastAsia="Book Antiqua" w:hAnsi="Times New Roman" w:cs="Times New Roman"/>
        </w:rPr>
      </w:pPr>
      <w:r w:rsidRPr="000E67DC">
        <w:rPr>
          <w:rFonts w:ascii="Times New Roman" w:eastAsia="Book Antiqua" w:hAnsi="Times New Roman" w:cs="Times New Roman"/>
        </w:rPr>
        <w:t>Yield potential of soybeans is shown in Tabel 6. Deja 1 has the highest seed weight among other genotypes with a potential yield of 1.75 tons</w:t>
      </w:r>
      <w:r w:rsidRPr="000E67DC">
        <w:rPr>
          <w:rFonts w:ascii="Times New Roman" w:eastAsia="Merriweather" w:hAnsi="Times New Roman" w:cs="Times New Roman"/>
          <w:b/>
          <w:bCs/>
        </w:rPr>
        <w:t xml:space="preserve"> </w:t>
      </w:r>
      <w:r w:rsidRPr="000E67DC">
        <w:rPr>
          <w:rFonts w:ascii="Times New Roman" w:eastAsia="Book Antiqua" w:hAnsi="Times New Roman" w:cs="Times New Roman"/>
        </w:rPr>
        <w:t>ha</w:t>
      </w:r>
      <w:r w:rsidRPr="000E67DC">
        <w:rPr>
          <w:rFonts w:ascii="Times New Roman" w:eastAsia="Book Antiqua" w:hAnsi="Times New Roman" w:cs="Times New Roman"/>
          <w:vertAlign w:val="superscript"/>
        </w:rPr>
        <w:t>-1</w:t>
      </w:r>
      <w:r w:rsidRPr="000E67DC">
        <w:rPr>
          <w:rFonts w:ascii="Times New Roman" w:eastAsia="Book Antiqua" w:hAnsi="Times New Roman" w:cs="Times New Roman"/>
        </w:rPr>
        <w:t xml:space="preserve">. This means that genotype is able to adapt to limited water. The research on soybean yield potential during the dry season emphasizes the importance of genotype selection in optimizing agricultural productivity. For instance, </w:t>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{"citationItems":[{"id":"ITEM-1","itemData":{"DOI":"10.3390/agronomy13020322","ISSN":"20734395","abstract":"Deploying crops in regions bordering their initial distribution area requires adapting existing cultivars to particular environmental constraints. In this study, we revealed the main Eco-climatic Factors (EFs)—climatic factors recorded over specific phenological periods—impacting both yields and Genotype by Environment Interactions (GEI) for yield in early maturity soybeans (Glycine max (L.) Merrill) under high latitudes. A multi-year (2017–2021) and multi-environment (n = 112) database was built based on the official post-inscription French soybean trial network “SOJA Terres Inovia-GEVES-Partenaires”. Yields of 57 cultivars covering MG00 and MG000 maturity groups were considered. For each environment, 126 EFs were calculated using a Crop Growth Model (CGM) based on observed weather data and simulated developmental stages. Partial Least Square (PLS) regression analyses using the Variable Importance in Projection (VIP) score were used to sort out the most relevant EFs for their impact on yield levels on the one side and on GEI for yield on the other side. Our results confirmed that yield levels for both maturity groups were greatly influenced by climatic factors from the seed filling phenophases, mainly End of Pod to Physiological Maturity. The cumulative potential evapotranspiration during the End of Pod to Physiological Maturity period was the main EF affecting yield levels positively for both maturity groups (VIP = 2.86; R2 = 0.64). Interestingly, EFs explaining yield levels strongly differed from those explaining GEI, in terms of both climatic factors and phenophases. GEI were mostly influenced by climatic factors from First Flower to End of Pod; these factors were maximum temperatures and solar radiation intensity. Cold stress from Sowing to First Seed also appeared to be a critical driver for GEI in MG00 soybeans. The contrasted responses of several cultivars to the main GEI-drivers highlighted a potential genetic variability that could be exploited in early maturity soybean breeding. This study revealed the complexity of GEI ecophysiology, and our results should help breeding strategies to deliver germplasm that outperforms the existing genetic material for expanding the crop to northern European regions.","author":[{"dropping-particle":"","family":"Elmerich","given":"Chloé","non-dropping-particle":"","parse-names":false,"suffix":""},{"dropping-particle":"","family":"Boulch","given":"Guénolé","non-dropping-particle":"","parse-names":false,"suffix":""},{"dropping-particle":"","family":"Faucon","given":"Michel Pierre","non-dropping-particle":"","parse-names":false,"suffix":""},{"dropping-particle":"","family":"Lakhal","given":"Lyes","non-dropping-particle":"","parse-names":false,"suffix":""},{"dropping-particle":"","family":"Lange","given":"Bastien","non-dropping-particle":"","parse-names":false,"suffix":""}],"container-title":"Agronomy","id":"ITEM-1","issue":"2","issued":{"date-parts":[["2023"]]},"title":"Identification of Eco-Climatic Factors Driving Yields and Genotype by Environment Interactions for Yield in Early Maturity Soybean Using Crop Simulation","type":"article-journal","volume":"13"},"uris":["http://www.mendeley.com/documents/?uuid=745b9197-41d0-426e-b06f-ccc2d6b82441"]}],"mendeley":{"formattedCitation":"(Elmerich et al., 2023)","manualFormatting":"Elmerich et al. (2023)","plainTextFormattedCitation":"(Elmerich et al., 2023)","previouslyFormattedCitation":"(Elmerich et al., 2023)"},"properties":{"noteIndex":0},"schema":"https://github.com/citation-style-language/schema/raw/master/csl-citation.json"}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Elmerich et al. (2023)</w:t>
      </w:r>
      <w:r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rPr>
        <w:t xml:space="preserve"> conducted a study on soybean genotypes in French, highlighting the significant influence of genotype-environment interactions on yield potential under drought stress. Similar studies were also reported on other plants such as Cowpea (</w:t>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{"citationItems":[{"id":"ITEM-1","itemData":{"DOI":"10.1007/s10681-022-03011-1","ISBN":"0123456789","ISSN":"15735060","abstract":"Cowpea is one of the most important indigenous food and forage legumes in Africa. It serves as a primary source of protein for poor farmers in drought-prone areas of Ethiopia. The crop is used as a source of food, and insurance crop during the dry season. Cowpea is adaptable to a wide range of climatic conditions. Despite this, the yield of the crop is generally low due to lack of stable and drought-tolerant varieties. In this study, 25 cowpea genotypes were evaluated in five environments using a lattice design during the 2017 and 2018 main cropping seasons. The objectives of this study were to estimate the magnitude of genotype by environment interaction (GEI) and grain yield stability of selected drought-tolerant cowpea genotypes across different environments. The additive main effect and multiplicative interaction (AMMI) model indicated the contribution of environment, genotype and GEI as 63.98, 2.66% and 16.30% of the total variation for grain yield, respectively. The IPCA1, IPCA2 and IPCA3 were all significant and explained 45.47%, 28.05% and 16.59% of the GEI variation, respectively. The results from AMMI, cultivar superior measure, genotype plus genotype-by-environment biplot yield stability index, and AMMI stability value analyses identified NLLP-CPC-07-145-21, NLLP-CPC-103-B and NLLP_CPC-07-54 as stable and high yielding genotypes across environments. Thus, these genotypes should be recommended for release for production in drought-prone areas. NLLP-CPC-07-143, Kanketi and CP-EXTERETIS were the least stable. The AMMI1 biplot showed that Jinka was a high potential and favorable environment while Babile was an unfavorable environment for cowpea production.","author":[{"dropping-particle":"","family":"Mekonnen","given":"Tesfaye Walle","non-dropping-particle":"","parse-names":false,"suffix":""},{"dropping-particle":"","family":"Mekbib","given":"Firew","non-dropping-particle":"","parse-names":false,"suffix":""},{"dropping-particle":"","family":"Amsalu","given":"Berhanu","non-dropping-particle":"","parse-names":false,"suffix":""},{"dropping-particle":"","family":"Gedil","given":"Melaku","non-dropping-particle":"","parse-names":false,"suffix":""},{"dropping-particle":"","family":"Labuschagne","given":"Maryke","non-dropping-particle":"","parse-names":false,"suffix":""}],"container-title":"Euphytica","id":"ITEM-1","issue":"5","issued":{"date-parts":[["2022"]]},"page":"1-13","publisher":"Springer Netherlands","title":"Genotype by environment interaction and grain yield stability of drought tolerant cowpea landraces in Ethiopia","type":"article-journal","volume":"218"},"uris":["http://www.mendeley.com/documents/?uuid=eca1e973-5147-4bf3-aa56-d4b2e74e8ae8"]}],"mendeley":{"formattedCitation":"(Mekonnen et al., 2022)","manualFormatting":"Mekonnen et al., 2022","plainTextFormattedCitation":"(Mekonnen et al., 2022)","previouslyFormattedCitation":"(Mekonnen et al., 2022)"},"properties":{"noteIndex":0},"schema":"https://github.com/citation-style-language/schema/raw/master/csl-citation.json"}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Mekonnen et al., 2022</w:t>
      </w:r>
      <w:r w:rsidRPr="000E67DC">
        <w:rPr>
          <w:rStyle w:val="FootnoteReference"/>
          <w:rFonts w:ascii="Times New Roman" w:eastAsia="Book Antiqua" w:hAnsi="Times New Roman" w:cs="Times New Roman"/>
        </w:rPr>
        <w:fldChar w:fldCharType="end"/>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{"citationItems":[{"id":"ITEM-1","itemData":{"DOI":"10.1007/s10681-020-02611-z","ISBN":"1068102002611","ISSN":"15735060","abstract":"The identification of stable and adaptable high yielding cowpeas (Vigna unguiculata (L.) Walp.) and highly discriminative environments will be useful for elite cultivar development in South Africa. Two statistical models, the Additive main effects multiplicative interaction (AMMI) and the genotype, genotype by environment biplot analysis have been used extensively to identify superior genotypes and ideal testing environments. Hence, the objective of this study was to identify elite cowpea lines and testing environments using the two models to inform future cultivar development strategies. Fifteen cowpea genotypes were evaluated for yield performance and stability across 3 different locations during 2016 and 2017 growing seasons in South Africa. Genotype main effects were significant for grain yield, while genotype × environment interaction effect was insignificant for grain yield. However, genotypic perfomance for grain yield was significantly affected by seasonal variability. The AMMI analysis of variance showed that genotypes (G), environments (E) and their interaction were significant for grain yield. The G and GE effects accounted for about 10% of the total variation in grain yield, while the environment accounted for 66%. The high yielding genotypes, Vigna Onb, TVU-5431 and Kisumu mix, were adapted to Mafikeng and Potchefstroom sites. Kisumu mix, followed by Vigna Onb, were the most stable genotypes, while Veg cowpea 1, Veg cowpea dacama cream and Veg cowpea 2 were the least stable genotypes across the three sites and seasons. The analysis also showed that Environment 4 (Potchefstroom) was the most ideal site for cowpea production among the test sites.","author":[{"dropping-particle":"","family":"Gerrano","given":"Abe Shegro","non-dropping-particle":"","parse-names":false,"suffix":""},{"dropping-particle":"","family":"Jansen van Rensburg","given":"Willem Sternberg","non-dropping-particle":"","parse-names":false,"suffix":""},{"dropping-particle":"","family":"Mathew","given":"Isack","non-dropping-particle":"","parse-names":false,"suffix":""},{"dropping-particle":"","family":"Shayanowako","given":"Admire I.T.","non-dropping-particle":"","parse-names":false,"suffix":""},{"dropping-particle":"","family":"Bairu","given":"Michael Wolday","non-dropping-particle":"","parse-names":false,"suffix":""},{"dropping-particle":"","family":"Venter","given":"Sonja Louise","non-dropping-particle":"","parse-names":false,"suffix":""},{"dropping-particle":"","family":"Swart","given":"Wijnand","non-dropping-particle":"","parse-names":false,"suffix":""},{"dropping-particle":"","family":"Mofokeng","given":"Alina","non-dropping-particle":"","parse-names":false,"suffix":""},{"dropping-particle":"","family":"Mellem","given":"John","non-dropping-particle":"","parse-names":false,"suffix":""},{"dropping-particle":"","family":"Labuschagne","given":"Maryke","non-dropping-particle":"","parse-names":false,"suffix":""}],"container-title":"Euphytica","id":"ITEM-1","issue":"5","issued":{"date-parts":[["2020"]]},"page":"1-11","publisher":"Springer Netherlands","title":"Genotype and genotype × environment interaction effects on the grain yield performance of cowpea genotypes in dryland farming system in South Africa","type":"article-journal","volume":"216"},"uris":["http://www.mendeley.com/documents/?uuid=f622afeb-0ad0-4261-b616-961d138e45fb"]}],"mendeley":{"formattedCitation":"(Gerrano et al., 2020)","manualFormatting":"; Gerrano et al., 2020)","plainTextFormattedCitation":"(Gerrano et al., 2020)","previouslyFormattedCitation":"(Gerrano et al., 2020)"},"properties":{"noteIndex":0},"schema":"https://github.com/citation-style-language/schema/raw/master/csl-citation.json"}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 Gerrano et al., 2020)</w:t>
      </w:r>
      <w:r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rPr>
        <w:t>, Mung bean (</w:t>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{"citationItems":[{"id":"ITEM-1","itemData":{"DOI":"10.3390/agronomy11112136","ISSN":"20734395","abstract":"Water deficit stress is a critical abiotic constraint to mung bean production that affects plant growth and development and finally reduces crop yield. Therefore, a field experiment was conducted at five diverse environments using four water stress‐tolerant genotypes, namely BARI Mung‐8, BMX‐08010‐2, BMX‐010015, and BMX‐08009‐7, along with two popular cultivated varieties (check) of BARI Mung‐6 and BARI Mung‐7 to evaluate more stable tolerant genotypes across the country. Stability analysis was performed based on the grain yield. The combined analysis of variance showed significant variations among genotypes, environments, and their interactions. The AMMI analysis of variance indicated that genotype accounted for 91% of the total sum of squares for grain yield, followed by genotype × environment interaction (5%), and environment (4%). Par-titioning of interaction indicated that the first three interaction principal components (IPCA1– IPCA3) were highly significant (p ≤ 0.01). Using these significant IPCAs, AMMI stability parameters and non‐parameter indices BMX‐010015 was found stable across the environment based on yield traits and grain yield. The BMX‐08010‐2 genotype also showed significant regression coefficient (bi) more than unity, and non‐significant deviation from regression (S2di) values, indicating suitable for a favorable environment considering grain yield. So, based on the stability analysis (Eber-hart and Russell), additive main effects, and multiplicative interactions (AMMI) analysis, the BMX‐ 010015 and BMX‐08010‐2 could be suitable for having tolerance to water deficit stress.","author":[{"dropping-particle":"","family":"Islam","given":"Mohammad Rafiqul","non-dropping-particle":"","parse-names":false,"suffix":""},{"dropping-particle":"","family":"Sarker","given":"Bikas Chandra","non-dropping-particle":"","parse-names":false,"suffix":""},{"dropping-particle":"","family":"Alam","given":"Mohammad Ashraful","non-dropping-particle":"","parse-names":false,"suffix":""},{"dropping-particle":"","family":"Javed","given":"Talha","non-dropping-particle":"","parse-names":false,"suffix":""},{"dropping-particle":"","family":"Alam","given":"Mohammad Jahangir","non-dropping-particle":"","parse-names":false,"suffix":""},{"dropping-particle":"","family":"Zaman","given":"Mohammad Shahin Uz","non-dropping-particle":"","parse-names":false,"suffix":""},{"dropping-particle":"","family":"Azam","given":"Mohammad Golam","non-dropping-particle":"","parse-names":false,"suffix":""},{"dropping-particle":"","family":"Shabbir","given":"Rubab","non-dropping-particle":"","parse-names":false,"suffix":""},{"dropping-particle":"","family":"Raza","given":"Ali","non-dropping-particle":"","parse-names":false,"suffix":""},{"dropping-particle":"","family":"Habib‐ur‐rahman","given":"Muhammad","non-dropping-particle":"","parse-names":false,"suffix":""},{"dropping-particle":"","family":"Dessoky","given":"Eldessoky S.","non-dropping-particle":"","parse-names":false,"suffix":""},{"dropping-particle":"","family":"Islam","given":"Mohammad Sohidul","non-dropping-particle":"","parse-names":false,"suffix":""}],"container-title":"Agronomy","id":"ITEM-1","issue":"11","issued":{"date-parts":[["2021"]]},"title":"Yield stability and genotype environment interaction of water deficit stress tolerant mung bean (Vigna radiata l. wilczak) genotypes of Bangladesh","type":"article-journal","volume":"11"},"uris":["http://www.mendeley.com/documents/?uuid=fdee7360-9fb2-41c3-98fb-19ae0c2870cd"]}],"mendeley":{"formattedCitation":"(Islam et al., 2021)","manualFormatting":"Islam et al., 2021)","plainTextFormattedCitation":"(Islam et al., 2021)","previouslyFormattedCitation":"(Islam et al., 2021)"},"properties":{"noteIndex":0},"schema":"https://github.com/citation-style-language/schema/raw/master/csl-citation.json"}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Islam et al., 2021)</w:t>
      </w:r>
      <w:r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rPr>
        <w:t>, Sweet potato (</w:t>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{"citationItems":[{"id":"ITEM-1","itemData":{"DOI":"10.1038/s41598-023-33593-2","ISBN":"0123456789","ISSN":"20452322","PMID":"37081105","abstract":"West Africa is a dry region and drought tolerant sweetpotato cultivar was not reported. The objective of this study was to develop higher yielding drought tolerant sweetpotato hybrids following accelerated breeding scheme (ABS), and study G × E interaction. During advanced yield trial, the assessment of clones was conducted in six locations: four in Niger and two in Nigeria. Data were collected on storage root yield (SRY), harvest index (HI) and root dry matter content (DMC). Twenty-three hybrids were evaluated under drought and irrigation. Terminal drought was imposed. SAS and GenStat softwares were used for analyses. Based on drought susceptibility index (DSI), drought tolerant expression (DTE) and HI, clones 4 × 5 – 3, 9 × 7 – 1, 5 × 9 – 2, 3 × 6 – 2, and 3 × 12 – 3 were the best in SRY under drought stress and well-watered in combined data. Using AMMI stability value (ASV) and stability cultivar superiority (SCS), results revealed that the most superior cultivars were unstable. Clones 12 × 5 – 1 and 9 × 10 – 1 were recommended under drought for SRY stability combined with high DMC and high total carotene (TC). Under irrigation, the 13 × 8 – 2 is good candidate for stability across all locations combined with high DMC and medium TC, while clone 4 × 3 – 2, 13 × 8 – 2, 4 × 6 – 2 and 6 × 8 – 5 were stable SRY with high DMC. Therefore, these hybrids could be evaluated at on-farm trials to release the best to farmers.","author":[{"dropping-particle":"","family":"Mahaman Mourtala","given":"Issa Zakari","non-dropping-particle":"","parse-names":false,"suffix":""},{"dropping-particle":"","family":"Oselebe","given":"Happiness Ogba","non-dropping-particle":"","parse-names":false,"suffix":""},{"dropping-particle":"","family":"Baina","given":"Dan jimo","non-dropping-particle":"","parse-names":false,"suffix":""},{"dropping-particle":"","family":"Nwankwo Innocent","given":"Ifeanyi Maxwell","non-dropping-particle":"","parse-names":false,"suffix":""},{"dropping-particle":"","family":"Houdegbe","given":"Aristide Carlos","non-dropping-particle":"","parse-names":false,"suffix":""},{"dropping-particle":"","family":"Oumarou","given":"Souleyman","non-dropping-particle":"","parse-names":false,"suffix":""},{"dropping-particle":"","family":"Chukwu","given":"Samuel C.","non-dropping-particle":"","parse-names":false,"suffix":""},{"dropping-particle":"","family":"Moussa","given":"Baragé","non-dropping-particle":"","parse-names":false,"suffix":""}],"container-title":"Scientific Reports","id":"ITEM-1","issue":"1","issued":{"date-parts":[["2023"]]},"page":"1-13","publisher":"Nature Publishing Group UK","title":"Selection of new sweetpotato hybrids for West Africa using accelerated breeding scheme and genotype × environment interaction under drought stress","type":"article-journal","volume":"13"},"uris":["http://www.mendeley.com/documents/?uuid=cbadc938-b522-4085-9d9f-53a766067fbc"]}],"mendeley":{"formattedCitation":"(Mahaman Mourtala et al., 2023)","manualFormatting":"Mahaman et al., 2023)","plainTextFormattedCitation":"(Mahaman Mourtala et al., 2023)","previouslyFormattedCitation":"(Mahaman Mourtala et al., 2023)"},"properties":{"noteIndex":0},"schema":"https://github.com/citation-style-language/schema/raw/master/csl-citation.json"}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Mahaman et al., 2023)</w:t>
      </w:r>
      <w:r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rPr>
        <w:t xml:space="preserve"> and barley (</w:t>
      </w:r>
      <w:r w:rsidRPr="000E67DC">
        <w:rPr>
          <w:rStyle w:val="FootnoteReference"/>
          <w:rFonts w:ascii="Times New Roman" w:eastAsia="Book Antiqua" w:hAnsi="Times New Roman" w:cs="Times New Roman"/>
        </w:rPr>
        <w:fldChar w:fldCharType="begin" w:fldLock="1"/>
      </w:r>
      <w:r>
        <w:rPr>
          <w:rFonts w:ascii="Times New Roman" w:eastAsia="Book Antiqua" w:hAnsi="Times New Roman" w:cs="Times New Roman"/>
        </w:rPr>
        <w:instrText>ADDIN CSL_CITATION {"citationItems":[{"id":"ITEM-1","itemData":{"DOI":"10.1016/j.agwat.2020.106665","ISSN":"18732283","abstract":"In rainfed areas, due to the many variable environmental factors, the introduced cultivars, in addition to high yield, must also have yield stability. In the present study, 15 barley lines along with three local control cultivars under dryland conditions in six cold locations of Iran during three consecutive years (2013–2016) were evaluated. The results showed that the genotype-by-environment interaction is highly significant. The ratios between the sums of squares of G, GE and IPCA1 indicated that the AMMI model is suitable for data analysis. Also, combining AMMI model with BLUP technique and using WAASB index was promising and the results of both were in agreement. With the AMMI1 model, three mega-environments were determined, and the locations of Maragheh, Qamlu and Zanjan were located in the same mega-environment every three years. Finally, it was concluded that the second control cultivar was the most desirable genotype for most environments. Genotypes 16, 15 and 12 with high yield and optimal stability have the ability to be used as new potential genetic resources for improving and stabilizing grain yield in barley breeding programs for cold rainfed conditions. Genotypes 4, 5, and 6 should only be used in narrow adaptation to restricted environments. On the other hand, rainfall in November and January is important for proper seedling establishment, and rainfall in April and May is important for pollination and grain filling period.","author":[{"dropping-particle":"","family":"Ahakpaz","given":"Farhad","non-dropping-particle":"","parse-names":false,"suffix":""},{"dropping-particle":"","family":"Abdi","given":"Hossein","non-dropping-particle":"","parse-names":false,"suffix":""},{"dropping-particle":"","family":"Neyestani","given":"Elyas","non-dropping-particle":"","parse-names":false,"suffix":""},{"dropping-particle":"","family":"Hesami","given":"Ali","non-dropping-particle":"","parse-names":false,"suffix":""},{"dropping-particle":"","family":"Mohammadi","given":"Behrouz","non-dropping-particle":"","parse-names":false,"suffix":""},{"dropping-particle":"","family":"Mahmoudi","given":"Kourosh Nader","non-dropping-particle":"","parse-names":false,"suffix":""},{"dropping-particle":"","family":"Abedi-Asl","given":"Gholamreza","non-dropping-particle":"","parse-names":false,"suffix":""},{"dropping-particle":"","family":"Noshabadi","given":"Mohammad Reza Jazayeri","non-dropping-particle":"","parse-names":false,"suffix":""},{"dropping-particle":"","family":"Ahakpaz","given":"Farzad","non-dropping-particle":"","parse-names":false,"suffix":""},{"dropping-particle":"","family":"Alipour","given":"Hadi","non-dropping-particle":"","parse-names":false,"suffix":""}],"container-title":"Agricultural Water Management","id":"ITEM-1","issue":"October 2020","issued":{"date-parts":[["2021"]]},"page":"106665","publisher":"Elsevier B.V.","title":"Genotype-by-environment interaction analysis for grain yield of barley genotypes under dryland conditions and the role of monthly rainfall","type":"article-journal","volume":"245"},"uris":["http://www.mendeley.com/documents/?uuid=9eff94b5-2a08-43f9-8487-a5183c462444"]}],"mendeley":{"formattedCitation":"(Ahakpaz et al., 2021)","manualFormatting":"Ahakpaz et al., 2021)","plainTextFormattedCitation":"(Ahakpaz et al., 2021)","previouslyFormattedCitation":"(Ahakpaz et al., 2021)"},"properties":{"noteIndex":0},"schema":"https://github.com/citation-style-language/schema/raw/master/csl-citation.json"}</w:instrText>
      </w:r>
      <w:r w:rsidRPr="000E67DC">
        <w:rPr>
          <w:rStyle w:val="FootnoteReference"/>
          <w:rFonts w:ascii="Times New Roman" w:eastAsia="Book Antiqua" w:hAnsi="Times New Roman" w:cs="Times New Roman"/>
        </w:rPr>
        <w:fldChar w:fldCharType="separate"/>
      </w:r>
      <w:r w:rsidRPr="000E67DC">
        <w:rPr>
          <w:rFonts w:ascii="Times New Roman" w:eastAsia="Book Antiqua" w:hAnsi="Times New Roman" w:cs="Times New Roman"/>
          <w:noProof/>
        </w:rPr>
        <w:t>Ahakpaz et al., 2021)</w:t>
      </w:r>
      <w:r w:rsidRPr="000E67DC">
        <w:rPr>
          <w:rStyle w:val="FootnoteReference"/>
          <w:rFonts w:ascii="Times New Roman" w:eastAsia="Book Antiqua" w:hAnsi="Times New Roman" w:cs="Times New Roman"/>
        </w:rPr>
        <w:fldChar w:fldCharType="end"/>
      </w:r>
      <w:r w:rsidRPr="000E67DC">
        <w:rPr>
          <w:rFonts w:ascii="Times New Roman" w:eastAsia="Book Antiqua" w:hAnsi="Times New Roman" w:cs="Times New Roman"/>
        </w:rPr>
        <w:t>. Identifying superior genotypes, based on yield potential such as Deja 1, is critical for improving productivity through breeding program, particularly in regions facing similar climatic challenges.</w:t>
      </w:r>
    </w:p>
    <w:p w14:paraId="77839ADF" w14:textId="77777777" w:rsidR="00BC716D" w:rsidRDefault="00BC716D" w:rsidP="00350F51">
      <w:pPr>
        <w:spacing w:after="0" w:line="240" w:lineRule="auto"/>
        <w:jc w:val="both"/>
        <w:rPr>
          <w:rFonts w:ascii="Times New Roman" w:eastAsia="Merriweather" w:hAnsi="Times New Roman" w:cs="Times New Roman"/>
          <w:iCs/>
          <w:sz w:val="20"/>
          <w:szCs w:val="20"/>
          <w:lang w:val="en-US"/>
        </w:rPr>
      </w:pPr>
    </w:p>
    <w:p w14:paraId="2B196BF0" w14:textId="77777777" w:rsidR="004C7224" w:rsidRDefault="004C7224" w:rsidP="00350F51">
      <w:pPr>
        <w:spacing w:after="0" w:line="240" w:lineRule="auto"/>
        <w:jc w:val="both"/>
        <w:rPr>
          <w:rFonts w:ascii="Times New Roman" w:eastAsia="Merriweather" w:hAnsi="Times New Roman" w:cs="Times New Roman"/>
          <w:iCs/>
          <w:sz w:val="20"/>
          <w:szCs w:val="20"/>
          <w:lang w:val="en-US"/>
        </w:rPr>
        <w:sectPr w:rsidR="004C7224" w:rsidSect="00FF183A">
          <w:type w:val="continuous"/>
          <w:pgSz w:w="11907" w:h="16840"/>
          <w:pgMar w:top="1134" w:right="1134" w:bottom="1134" w:left="1418" w:header="907" w:footer="907" w:gutter="0"/>
          <w:cols w:space="288"/>
        </w:sectPr>
      </w:pPr>
    </w:p>
    <w:p w14:paraId="5B82CBCA" w14:textId="77777777" w:rsidR="00350F51" w:rsidRPr="005C41E0" w:rsidRDefault="00350F51" w:rsidP="00350F51">
      <w:pPr>
        <w:spacing w:after="0" w:line="240" w:lineRule="auto"/>
        <w:jc w:val="both"/>
        <w:rPr>
          <w:rFonts w:ascii="Times New Roman" w:eastAsia="Merriweather" w:hAnsi="Times New Roman" w:cs="Times New Roman"/>
          <w:iCs/>
          <w:sz w:val="20"/>
          <w:szCs w:val="20"/>
          <w:lang w:val="en-US"/>
        </w:rPr>
      </w:pPr>
      <w:r w:rsidRPr="00FA62AB">
        <w:rPr>
          <w:rFonts w:ascii="Times New Roman" w:eastAsia="Merriweather" w:hAnsi="Times New Roman" w:cs="Times New Roman"/>
          <w:b/>
          <w:bCs/>
          <w:iCs/>
          <w:sz w:val="20"/>
          <w:szCs w:val="20"/>
          <w:lang w:val="en-US"/>
        </w:rPr>
        <w:t>Table 5.</w:t>
      </w:r>
      <w:r w:rsidRPr="005C41E0">
        <w:rPr>
          <w:rFonts w:ascii="Times New Roman" w:eastAsia="Merriweather" w:hAnsi="Times New Roman" w:cs="Times New Roman"/>
          <w:iCs/>
          <w:sz w:val="20"/>
          <w:szCs w:val="20"/>
          <w:lang w:val="en-US"/>
        </w:rPr>
        <w:t xml:space="preserve"> Estimated variance components and genetic parameters </w:t>
      </w:r>
    </w:p>
    <w:tbl>
      <w:tblPr>
        <w:tblW w:w="5000" w:type="pct"/>
        <w:tblLook w:val="04A0" w:firstRow="1" w:lastRow="0" w:firstColumn="1" w:lastColumn="0" w:noHBand="0" w:noVBand="1"/>
      </w:tblPr>
      <w:tblGrid>
        <w:gridCol w:w="1534"/>
        <w:gridCol w:w="857"/>
        <w:gridCol w:w="857"/>
        <w:gridCol w:w="857"/>
        <w:gridCol w:w="857"/>
        <w:gridCol w:w="857"/>
        <w:gridCol w:w="857"/>
        <w:gridCol w:w="971"/>
        <w:gridCol w:w="857"/>
        <w:gridCol w:w="851"/>
      </w:tblGrid>
      <w:tr w:rsidR="00350F51" w:rsidRPr="005C41E0" w14:paraId="7B424666" w14:textId="77777777" w:rsidTr="000C6384">
        <w:trPr>
          <w:trHeight w:val="285"/>
        </w:trPr>
        <w:tc>
          <w:tcPr>
            <w:tcW w:w="820" w:type="pct"/>
            <w:tcBorders>
              <w:top w:val="single" w:sz="4" w:space="0" w:color="auto"/>
              <w:left w:val="nil"/>
              <w:bottom w:val="single" w:sz="4" w:space="0" w:color="auto"/>
              <w:right w:val="nil"/>
            </w:tcBorders>
            <w:shd w:val="clear" w:color="auto" w:fill="auto"/>
            <w:noWrap/>
            <w:vAlign w:val="bottom"/>
            <w:hideMark/>
          </w:tcPr>
          <w:p w14:paraId="43D0E052"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Component</w:t>
            </w:r>
          </w:p>
        </w:tc>
        <w:tc>
          <w:tcPr>
            <w:tcW w:w="458" w:type="pct"/>
            <w:tcBorders>
              <w:top w:val="single" w:sz="4" w:space="0" w:color="auto"/>
              <w:left w:val="nil"/>
              <w:bottom w:val="single" w:sz="4" w:space="0" w:color="auto"/>
              <w:right w:val="nil"/>
            </w:tcBorders>
            <w:shd w:val="clear" w:color="auto" w:fill="auto"/>
            <w:noWrap/>
            <w:vAlign w:val="bottom"/>
            <w:hideMark/>
          </w:tcPr>
          <w:p w14:paraId="3F3A7EC2"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PH</w:t>
            </w:r>
          </w:p>
        </w:tc>
        <w:tc>
          <w:tcPr>
            <w:tcW w:w="458" w:type="pct"/>
            <w:tcBorders>
              <w:top w:val="single" w:sz="4" w:space="0" w:color="auto"/>
              <w:left w:val="nil"/>
              <w:bottom w:val="single" w:sz="4" w:space="0" w:color="auto"/>
              <w:right w:val="nil"/>
            </w:tcBorders>
            <w:shd w:val="clear" w:color="auto" w:fill="auto"/>
            <w:noWrap/>
            <w:vAlign w:val="bottom"/>
            <w:hideMark/>
          </w:tcPr>
          <w:p w14:paraId="421DB191"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WB</w:t>
            </w:r>
          </w:p>
        </w:tc>
        <w:tc>
          <w:tcPr>
            <w:tcW w:w="458" w:type="pct"/>
            <w:tcBorders>
              <w:top w:val="single" w:sz="4" w:space="0" w:color="auto"/>
              <w:left w:val="nil"/>
              <w:bottom w:val="single" w:sz="4" w:space="0" w:color="auto"/>
              <w:right w:val="nil"/>
            </w:tcBorders>
            <w:shd w:val="clear" w:color="auto" w:fill="auto"/>
            <w:noWrap/>
            <w:vAlign w:val="bottom"/>
            <w:hideMark/>
          </w:tcPr>
          <w:p w14:paraId="0831E065"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W100</w:t>
            </w:r>
          </w:p>
        </w:tc>
        <w:tc>
          <w:tcPr>
            <w:tcW w:w="458" w:type="pct"/>
            <w:tcBorders>
              <w:top w:val="single" w:sz="4" w:space="0" w:color="auto"/>
              <w:left w:val="nil"/>
              <w:bottom w:val="single" w:sz="4" w:space="0" w:color="auto"/>
              <w:right w:val="nil"/>
            </w:tcBorders>
            <w:shd w:val="clear" w:color="auto" w:fill="auto"/>
            <w:noWrap/>
            <w:vAlign w:val="bottom"/>
            <w:hideMark/>
          </w:tcPr>
          <w:p w14:paraId="7C7A3890"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WSP</w:t>
            </w:r>
          </w:p>
        </w:tc>
        <w:tc>
          <w:tcPr>
            <w:tcW w:w="458" w:type="pct"/>
            <w:tcBorders>
              <w:top w:val="single" w:sz="4" w:space="0" w:color="auto"/>
              <w:left w:val="nil"/>
              <w:bottom w:val="single" w:sz="4" w:space="0" w:color="auto"/>
              <w:right w:val="nil"/>
            </w:tcBorders>
            <w:shd w:val="clear" w:color="auto" w:fill="auto"/>
            <w:noWrap/>
            <w:vAlign w:val="bottom"/>
            <w:hideMark/>
          </w:tcPr>
          <w:p w14:paraId="77D8DD27"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WST</w:t>
            </w:r>
          </w:p>
        </w:tc>
        <w:tc>
          <w:tcPr>
            <w:tcW w:w="458" w:type="pct"/>
            <w:tcBorders>
              <w:top w:val="single" w:sz="4" w:space="0" w:color="auto"/>
              <w:left w:val="nil"/>
              <w:bottom w:val="single" w:sz="4" w:space="0" w:color="auto"/>
              <w:right w:val="nil"/>
            </w:tcBorders>
            <w:shd w:val="clear" w:color="auto" w:fill="auto"/>
            <w:noWrap/>
            <w:vAlign w:val="bottom"/>
            <w:hideMark/>
          </w:tcPr>
          <w:p w14:paraId="55A91049"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SFP</w:t>
            </w:r>
          </w:p>
        </w:tc>
        <w:tc>
          <w:tcPr>
            <w:tcW w:w="519" w:type="pct"/>
            <w:tcBorders>
              <w:top w:val="single" w:sz="4" w:space="0" w:color="auto"/>
              <w:left w:val="nil"/>
              <w:bottom w:val="single" w:sz="4" w:space="0" w:color="auto"/>
              <w:right w:val="nil"/>
            </w:tcBorders>
            <w:shd w:val="clear" w:color="auto" w:fill="auto"/>
            <w:noWrap/>
            <w:vAlign w:val="bottom"/>
            <w:hideMark/>
          </w:tcPr>
          <w:p w14:paraId="51E2A8BE"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NSP</w:t>
            </w:r>
          </w:p>
        </w:tc>
        <w:tc>
          <w:tcPr>
            <w:tcW w:w="458" w:type="pct"/>
            <w:tcBorders>
              <w:top w:val="single" w:sz="4" w:space="0" w:color="auto"/>
              <w:left w:val="nil"/>
              <w:bottom w:val="single" w:sz="4" w:space="0" w:color="auto"/>
              <w:right w:val="nil"/>
            </w:tcBorders>
            <w:shd w:val="clear" w:color="auto" w:fill="auto"/>
            <w:noWrap/>
            <w:vAlign w:val="bottom"/>
            <w:hideMark/>
          </w:tcPr>
          <w:p w14:paraId="7F707442"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R1-R8</w:t>
            </w:r>
          </w:p>
        </w:tc>
        <w:tc>
          <w:tcPr>
            <w:tcW w:w="455" w:type="pct"/>
            <w:tcBorders>
              <w:top w:val="single" w:sz="4" w:space="0" w:color="auto"/>
              <w:left w:val="nil"/>
              <w:bottom w:val="single" w:sz="4" w:space="0" w:color="auto"/>
              <w:right w:val="nil"/>
            </w:tcBorders>
            <w:shd w:val="clear" w:color="auto" w:fill="auto"/>
            <w:noWrap/>
            <w:vAlign w:val="bottom"/>
            <w:hideMark/>
          </w:tcPr>
          <w:p w14:paraId="1829161E"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YIELD</w:t>
            </w:r>
          </w:p>
        </w:tc>
      </w:tr>
      <w:tr w:rsidR="00350F51" w:rsidRPr="005C41E0" w14:paraId="29BEFC14" w14:textId="77777777" w:rsidTr="000C6384">
        <w:trPr>
          <w:trHeight w:val="285"/>
        </w:trPr>
        <w:tc>
          <w:tcPr>
            <w:tcW w:w="820" w:type="pct"/>
            <w:tcBorders>
              <w:top w:val="nil"/>
              <w:left w:val="nil"/>
              <w:bottom w:val="nil"/>
              <w:right w:val="nil"/>
            </w:tcBorders>
            <w:shd w:val="clear" w:color="auto" w:fill="auto"/>
            <w:noWrap/>
            <w:hideMark/>
          </w:tcPr>
          <w:p w14:paraId="3893BE87"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σ_g</w:t>
            </w:r>
          </w:p>
        </w:tc>
        <w:tc>
          <w:tcPr>
            <w:tcW w:w="458" w:type="pct"/>
            <w:tcBorders>
              <w:top w:val="nil"/>
              <w:left w:val="nil"/>
              <w:bottom w:val="nil"/>
              <w:right w:val="nil"/>
            </w:tcBorders>
            <w:shd w:val="clear" w:color="auto" w:fill="auto"/>
            <w:noWrap/>
            <w:vAlign w:val="bottom"/>
            <w:hideMark/>
          </w:tcPr>
          <w:p w14:paraId="1701041B"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62.73</w:t>
            </w:r>
          </w:p>
        </w:tc>
        <w:tc>
          <w:tcPr>
            <w:tcW w:w="458" w:type="pct"/>
            <w:tcBorders>
              <w:top w:val="nil"/>
              <w:left w:val="nil"/>
              <w:bottom w:val="nil"/>
              <w:right w:val="nil"/>
            </w:tcBorders>
            <w:shd w:val="clear" w:color="auto" w:fill="auto"/>
            <w:noWrap/>
            <w:vAlign w:val="bottom"/>
            <w:hideMark/>
          </w:tcPr>
          <w:p w14:paraId="1D07491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0.05</w:t>
            </w:r>
          </w:p>
        </w:tc>
        <w:tc>
          <w:tcPr>
            <w:tcW w:w="458" w:type="pct"/>
            <w:tcBorders>
              <w:top w:val="nil"/>
              <w:left w:val="nil"/>
              <w:bottom w:val="nil"/>
              <w:right w:val="nil"/>
            </w:tcBorders>
            <w:shd w:val="clear" w:color="auto" w:fill="auto"/>
            <w:noWrap/>
            <w:vAlign w:val="bottom"/>
            <w:hideMark/>
          </w:tcPr>
          <w:p w14:paraId="3B8BC38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20.95</w:t>
            </w:r>
          </w:p>
        </w:tc>
        <w:tc>
          <w:tcPr>
            <w:tcW w:w="458" w:type="pct"/>
            <w:tcBorders>
              <w:top w:val="nil"/>
              <w:left w:val="nil"/>
              <w:bottom w:val="nil"/>
              <w:right w:val="nil"/>
            </w:tcBorders>
            <w:shd w:val="clear" w:color="auto" w:fill="auto"/>
            <w:noWrap/>
            <w:vAlign w:val="bottom"/>
            <w:hideMark/>
          </w:tcPr>
          <w:p w14:paraId="7BDA145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0.03</w:t>
            </w:r>
          </w:p>
        </w:tc>
        <w:tc>
          <w:tcPr>
            <w:tcW w:w="458" w:type="pct"/>
            <w:tcBorders>
              <w:top w:val="nil"/>
              <w:left w:val="nil"/>
              <w:bottom w:val="nil"/>
              <w:right w:val="nil"/>
            </w:tcBorders>
            <w:shd w:val="clear" w:color="auto" w:fill="auto"/>
            <w:noWrap/>
            <w:vAlign w:val="bottom"/>
            <w:hideMark/>
          </w:tcPr>
          <w:p w14:paraId="784C6F0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53.75</w:t>
            </w:r>
          </w:p>
        </w:tc>
        <w:tc>
          <w:tcPr>
            <w:tcW w:w="458" w:type="pct"/>
            <w:tcBorders>
              <w:top w:val="nil"/>
              <w:left w:val="nil"/>
              <w:bottom w:val="nil"/>
              <w:right w:val="nil"/>
            </w:tcBorders>
            <w:shd w:val="clear" w:color="auto" w:fill="auto"/>
            <w:noWrap/>
            <w:vAlign w:val="bottom"/>
            <w:hideMark/>
          </w:tcPr>
          <w:p w14:paraId="274C5CC0"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3.36</w:t>
            </w:r>
          </w:p>
        </w:tc>
        <w:tc>
          <w:tcPr>
            <w:tcW w:w="519" w:type="pct"/>
            <w:tcBorders>
              <w:top w:val="nil"/>
              <w:left w:val="nil"/>
              <w:bottom w:val="nil"/>
              <w:right w:val="nil"/>
            </w:tcBorders>
            <w:shd w:val="clear" w:color="auto" w:fill="auto"/>
            <w:noWrap/>
            <w:vAlign w:val="bottom"/>
            <w:hideMark/>
          </w:tcPr>
          <w:p w14:paraId="378EF94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1341.96</w:t>
            </w:r>
          </w:p>
        </w:tc>
        <w:tc>
          <w:tcPr>
            <w:tcW w:w="458" w:type="pct"/>
            <w:tcBorders>
              <w:top w:val="nil"/>
              <w:left w:val="nil"/>
              <w:bottom w:val="nil"/>
              <w:right w:val="nil"/>
            </w:tcBorders>
            <w:shd w:val="clear" w:color="auto" w:fill="auto"/>
            <w:noWrap/>
            <w:vAlign w:val="bottom"/>
            <w:hideMark/>
          </w:tcPr>
          <w:p w14:paraId="02FF1116"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0.25</w:t>
            </w:r>
          </w:p>
        </w:tc>
        <w:tc>
          <w:tcPr>
            <w:tcW w:w="455" w:type="pct"/>
            <w:tcBorders>
              <w:top w:val="nil"/>
              <w:left w:val="nil"/>
              <w:bottom w:val="nil"/>
              <w:right w:val="nil"/>
            </w:tcBorders>
            <w:shd w:val="clear" w:color="auto" w:fill="auto"/>
            <w:noWrap/>
            <w:vAlign w:val="bottom"/>
            <w:hideMark/>
          </w:tcPr>
          <w:p w14:paraId="0E3F341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0.09</w:t>
            </w:r>
          </w:p>
        </w:tc>
      </w:tr>
      <w:tr w:rsidR="00350F51" w:rsidRPr="005C41E0" w14:paraId="41F89D74" w14:textId="77777777" w:rsidTr="000C6384">
        <w:trPr>
          <w:trHeight w:val="285"/>
        </w:trPr>
        <w:tc>
          <w:tcPr>
            <w:tcW w:w="820" w:type="pct"/>
            <w:tcBorders>
              <w:top w:val="nil"/>
              <w:left w:val="nil"/>
              <w:bottom w:val="nil"/>
              <w:right w:val="nil"/>
            </w:tcBorders>
            <w:shd w:val="clear" w:color="auto" w:fill="auto"/>
            <w:noWrap/>
            <w:hideMark/>
          </w:tcPr>
          <w:p w14:paraId="1ED956F2"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σ_r</w:t>
            </w:r>
          </w:p>
        </w:tc>
        <w:tc>
          <w:tcPr>
            <w:tcW w:w="458" w:type="pct"/>
            <w:tcBorders>
              <w:top w:val="nil"/>
              <w:left w:val="nil"/>
              <w:bottom w:val="nil"/>
              <w:right w:val="nil"/>
            </w:tcBorders>
            <w:shd w:val="clear" w:color="auto" w:fill="auto"/>
            <w:noWrap/>
            <w:vAlign w:val="bottom"/>
            <w:hideMark/>
          </w:tcPr>
          <w:p w14:paraId="12E946E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10.03</w:t>
            </w:r>
          </w:p>
        </w:tc>
        <w:tc>
          <w:tcPr>
            <w:tcW w:w="458" w:type="pct"/>
            <w:tcBorders>
              <w:top w:val="nil"/>
              <w:left w:val="nil"/>
              <w:bottom w:val="nil"/>
              <w:right w:val="nil"/>
            </w:tcBorders>
            <w:shd w:val="clear" w:color="auto" w:fill="auto"/>
            <w:noWrap/>
            <w:vAlign w:val="bottom"/>
            <w:hideMark/>
          </w:tcPr>
          <w:p w14:paraId="1A52B0B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0.02</w:t>
            </w:r>
          </w:p>
        </w:tc>
        <w:tc>
          <w:tcPr>
            <w:tcW w:w="458" w:type="pct"/>
            <w:tcBorders>
              <w:top w:val="nil"/>
              <w:left w:val="nil"/>
              <w:bottom w:val="nil"/>
              <w:right w:val="nil"/>
            </w:tcBorders>
            <w:shd w:val="clear" w:color="auto" w:fill="auto"/>
            <w:noWrap/>
            <w:vAlign w:val="bottom"/>
            <w:hideMark/>
          </w:tcPr>
          <w:p w14:paraId="715316C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0.88</w:t>
            </w:r>
          </w:p>
        </w:tc>
        <w:tc>
          <w:tcPr>
            <w:tcW w:w="458" w:type="pct"/>
            <w:tcBorders>
              <w:top w:val="nil"/>
              <w:left w:val="nil"/>
              <w:bottom w:val="nil"/>
              <w:right w:val="nil"/>
            </w:tcBorders>
            <w:shd w:val="clear" w:color="auto" w:fill="auto"/>
            <w:noWrap/>
            <w:vAlign w:val="bottom"/>
            <w:hideMark/>
          </w:tcPr>
          <w:p w14:paraId="1B9EB601"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0.01</w:t>
            </w:r>
          </w:p>
        </w:tc>
        <w:tc>
          <w:tcPr>
            <w:tcW w:w="458" w:type="pct"/>
            <w:tcBorders>
              <w:top w:val="nil"/>
              <w:left w:val="nil"/>
              <w:bottom w:val="nil"/>
              <w:right w:val="nil"/>
            </w:tcBorders>
            <w:shd w:val="clear" w:color="auto" w:fill="auto"/>
            <w:noWrap/>
            <w:vAlign w:val="bottom"/>
            <w:hideMark/>
          </w:tcPr>
          <w:p w14:paraId="32B8FDD6"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380.62</w:t>
            </w:r>
          </w:p>
        </w:tc>
        <w:tc>
          <w:tcPr>
            <w:tcW w:w="458" w:type="pct"/>
            <w:tcBorders>
              <w:top w:val="nil"/>
              <w:left w:val="nil"/>
              <w:bottom w:val="nil"/>
              <w:right w:val="nil"/>
            </w:tcBorders>
            <w:shd w:val="clear" w:color="auto" w:fill="auto"/>
            <w:noWrap/>
            <w:vAlign w:val="bottom"/>
            <w:hideMark/>
          </w:tcPr>
          <w:p w14:paraId="7DEEBA6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4.19</w:t>
            </w:r>
          </w:p>
        </w:tc>
        <w:tc>
          <w:tcPr>
            <w:tcW w:w="519" w:type="pct"/>
            <w:tcBorders>
              <w:top w:val="nil"/>
              <w:left w:val="nil"/>
              <w:bottom w:val="nil"/>
              <w:right w:val="nil"/>
            </w:tcBorders>
            <w:shd w:val="clear" w:color="auto" w:fill="auto"/>
            <w:noWrap/>
            <w:vAlign w:val="bottom"/>
            <w:hideMark/>
          </w:tcPr>
          <w:p w14:paraId="4A72F6E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122.86</w:t>
            </w:r>
          </w:p>
        </w:tc>
        <w:tc>
          <w:tcPr>
            <w:tcW w:w="458" w:type="pct"/>
            <w:tcBorders>
              <w:top w:val="nil"/>
              <w:left w:val="nil"/>
              <w:bottom w:val="nil"/>
              <w:right w:val="nil"/>
            </w:tcBorders>
            <w:shd w:val="clear" w:color="auto" w:fill="auto"/>
            <w:noWrap/>
            <w:vAlign w:val="bottom"/>
            <w:hideMark/>
          </w:tcPr>
          <w:p w14:paraId="37781B19"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0.36</w:t>
            </w:r>
          </w:p>
        </w:tc>
        <w:tc>
          <w:tcPr>
            <w:tcW w:w="455" w:type="pct"/>
            <w:tcBorders>
              <w:top w:val="nil"/>
              <w:left w:val="nil"/>
              <w:bottom w:val="nil"/>
              <w:right w:val="nil"/>
            </w:tcBorders>
            <w:shd w:val="clear" w:color="auto" w:fill="auto"/>
            <w:noWrap/>
            <w:vAlign w:val="bottom"/>
            <w:hideMark/>
          </w:tcPr>
          <w:p w14:paraId="15B4539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0.06</w:t>
            </w:r>
          </w:p>
        </w:tc>
      </w:tr>
      <w:tr w:rsidR="00350F51" w:rsidRPr="005C41E0" w14:paraId="0382E4FA" w14:textId="77777777" w:rsidTr="000C6384">
        <w:trPr>
          <w:trHeight w:val="285"/>
        </w:trPr>
        <w:tc>
          <w:tcPr>
            <w:tcW w:w="820" w:type="pct"/>
            <w:tcBorders>
              <w:top w:val="nil"/>
              <w:left w:val="nil"/>
              <w:bottom w:val="nil"/>
              <w:right w:val="nil"/>
            </w:tcBorders>
            <w:shd w:val="clear" w:color="auto" w:fill="auto"/>
            <w:noWrap/>
            <w:hideMark/>
          </w:tcPr>
          <w:p w14:paraId="79BD48CC"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σ_f</w:t>
            </w:r>
          </w:p>
        </w:tc>
        <w:tc>
          <w:tcPr>
            <w:tcW w:w="458" w:type="pct"/>
            <w:tcBorders>
              <w:top w:val="nil"/>
              <w:left w:val="nil"/>
              <w:bottom w:val="nil"/>
              <w:right w:val="nil"/>
            </w:tcBorders>
            <w:shd w:val="clear" w:color="auto" w:fill="auto"/>
            <w:noWrap/>
            <w:vAlign w:val="bottom"/>
            <w:hideMark/>
          </w:tcPr>
          <w:p w14:paraId="6D9EBC42"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72.77</w:t>
            </w:r>
          </w:p>
        </w:tc>
        <w:tc>
          <w:tcPr>
            <w:tcW w:w="458" w:type="pct"/>
            <w:tcBorders>
              <w:top w:val="nil"/>
              <w:left w:val="nil"/>
              <w:bottom w:val="nil"/>
              <w:right w:val="nil"/>
            </w:tcBorders>
            <w:shd w:val="clear" w:color="auto" w:fill="auto"/>
            <w:noWrap/>
            <w:vAlign w:val="bottom"/>
            <w:hideMark/>
          </w:tcPr>
          <w:p w14:paraId="7DA91D72"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0.08</w:t>
            </w:r>
          </w:p>
        </w:tc>
        <w:tc>
          <w:tcPr>
            <w:tcW w:w="458" w:type="pct"/>
            <w:tcBorders>
              <w:top w:val="nil"/>
              <w:left w:val="nil"/>
              <w:bottom w:val="nil"/>
              <w:right w:val="nil"/>
            </w:tcBorders>
            <w:shd w:val="clear" w:color="auto" w:fill="auto"/>
            <w:noWrap/>
            <w:vAlign w:val="bottom"/>
            <w:hideMark/>
          </w:tcPr>
          <w:p w14:paraId="5BDB86CA"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21.83</w:t>
            </w:r>
          </w:p>
        </w:tc>
        <w:tc>
          <w:tcPr>
            <w:tcW w:w="458" w:type="pct"/>
            <w:tcBorders>
              <w:top w:val="nil"/>
              <w:left w:val="nil"/>
              <w:bottom w:val="nil"/>
              <w:right w:val="nil"/>
            </w:tcBorders>
            <w:shd w:val="clear" w:color="auto" w:fill="auto"/>
            <w:noWrap/>
            <w:vAlign w:val="bottom"/>
            <w:hideMark/>
          </w:tcPr>
          <w:p w14:paraId="0FCECE46"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0.04</w:t>
            </w:r>
          </w:p>
        </w:tc>
        <w:tc>
          <w:tcPr>
            <w:tcW w:w="458" w:type="pct"/>
            <w:tcBorders>
              <w:top w:val="nil"/>
              <w:left w:val="nil"/>
              <w:bottom w:val="nil"/>
              <w:right w:val="nil"/>
            </w:tcBorders>
            <w:shd w:val="clear" w:color="auto" w:fill="auto"/>
            <w:noWrap/>
            <w:vAlign w:val="bottom"/>
            <w:hideMark/>
          </w:tcPr>
          <w:p w14:paraId="0BCC1392"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434.37</w:t>
            </w:r>
          </w:p>
        </w:tc>
        <w:tc>
          <w:tcPr>
            <w:tcW w:w="458" w:type="pct"/>
            <w:tcBorders>
              <w:top w:val="nil"/>
              <w:left w:val="nil"/>
              <w:bottom w:val="nil"/>
              <w:right w:val="nil"/>
            </w:tcBorders>
            <w:shd w:val="clear" w:color="auto" w:fill="auto"/>
            <w:noWrap/>
            <w:vAlign w:val="bottom"/>
            <w:hideMark/>
          </w:tcPr>
          <w:p w14:paraId="2F178E19"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7.55</w:t>
            </w:r>
          </w:p>
        </w:tc>
        <w:tc>
          <w:tcPr>
            <w:tcW w:w="519" w:type="pct"/>
            <w:tcBorders>
              <w:top w:val="nil"/>
              <w:left w:val="nil"/>
              <w:bottom w:val="nil"/>
              <w:right w:val="nil"/>
            </w:tcBorders>
            <w:shd w:val="clear" w:color="auto" w:fill="auto"/>
            <w:noWrap/>
            <w:vAlign w:val="bottom"/>
            <w:hideMark/>
          </w:tcPr>
          <w:p w14:paraId="35B3288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1464.83</w:t>
            </w:r>
          </w:p>
        </w:tc>
        <w:tc>
          <w:tcPr>
            <w:tcW w:w="458" w:type="pct"/>
            <w:tcBorders>
              <w:top w:val="nil"/>
              <w:left w:val="nil"/>
              <w:bottom w:val="nil"/>
              <w:right w:val="nil"/>
            </w:tcBorders>
            <w:shd w:val="clear" w:color="auto" w:fill="auto"/>
            <w:noWrap/>
            <w:vAlign w:val="bottom"/>
            <w:hideMark/>
          </w:tcPr>
          <w:p w14:paraId="35279066"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0.61</w:t>
            </w:r>
          </w:p>
        </w:tc>
        <w:tc>
          <w:tcPr>
            <w:tcW w:w="455" w:type="pct"/>
            <w:tcBorders>
              <w:top w:val="nil"/>
              <w:left w:val="nil"/>
              <w:bottom w:val="nil"/>
              <w:right w:val="nil"/>
            </w:tcBorders>
            <w:shd w:val="clear" w:color="auto" w:fill="auto"/>
            <w:noWrap/>
            <w:vAlign w:val="bottom"/>
            <w:hideMark/>
          </w:tcPr>
          <w:p w14:paraId="49DB777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0.16</w:t>
            </w:r>
          </w:p>
        </w:tc>
      </w:tr>
      <w:tr w:rsidR="00350F51" w:rsidRPr="005C41E0" w14:paraId="4BCE4461" w14:textId="77777777" w:rsidTr="000C6384">
        <w:trPr>
          <w:trHeight w:val="285"/>
        </w:trPr>
        <w:tc>
          <w:tcPr>
            <w:tcW w:w="820" w:type="pct"/>
            <w:tcBorders>
              <w:top w:val="nil"/>
              <w:left w:val="nil"/>
              <w:bottom w:val="nil"/>
              <w:right w:val="nil"/>
            </w:tcBorders>
            <w:shd w:val="clear" w:color="auto" w:fill="auto"/>
            <w:noWrap/>
            <w:hideMark/>
          </w:tcPr>
          <w:p w14:paraId="4F970F01"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h²</w:t>
            </w:r>
          </w:p>
        </w:tc>
        <w:tc>
          <w:tcPr>
            <w:tcW w:w="458" w:type="pct"/>
            <w:tcBorders>
              <w:top w:val="nil"/>
              <w:left w:val="nil"/>
              <w:bottom w:val="nil"/>
              <w:right w:val="nil"/>
            </w:tcBorders>
            <w:shd w:val="clear" w:color="auto" w:fill="auto"/>
            <w:noWrap/>
            <w:vAlign w:val="bottom"/>
            <w:hideMark/>
          </w:tcPr>
          <w:p w14:paraId="71277E70"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0.86</w:t>
            </w:r>
          </w:p>
        </w:tc>
        <w:tc>
          <w:tcPr>
            <w:tcW w:w="458" w:type="pct"/>
            <w:tcBorders>
              <w:top w:val="nil"/>
              <w:left w:val="nil"/>
              <w:bottom w:val="nil"/>
              <w:right w:val="nil"/>
            </w:tcBorders>
            <w:shd w:val="clear" w:color="auto" w:fill="auto"/>
            <w:noWrap/>
            <w:vAlign w:val="bottom"/>
            <w:hideMark/>
          </w:tcPr>
          <w:p w14:paraId="132A902B"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0.67</w:t>
            </w:r>
          </w:p>
        </w:tc>
        <w:tc>
          <w:tcPr>
            <w:tcW w:w="458" w:type="pct"/>
            <w:tcBorders>
              <w:top w:val="nil"/>
              <w:left w:val="nil"/>
              <w:bottom w:val="nil"/>
              <w:right w:val="nil"/>
            </w:tcBorders>
            <w:shd w:val="clear" w:color="auto" w:fill="auto"/>
            <w:noWrap/>
            <w:vAlign w:val="bottom"/>
            <w:hideMark/>
          </w:tcPr>
          <w:p w14:paraId="62E9704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0.95</w:t>
            </w:r>
          </w:p>
        </w:tc>
        <w:tc>
          <w:tcPr>
            <w:tcW w:w="458" w:type="pct"/>
            <w:tcBorders>
              <w:top w:val="nil"/>
              <w:left w:val="nil"/>
              <w:bottom w:val="nil"/>
              <w:right w:val="nil"/>
            </w:tcBorders>
            <w:shd w:val="clear" w:color="auto" w:fill="auto"/>
            <w:noWrap/>
            <w:vAlign w:val="bottom"/>
            <w:hideMark/>
          </w:tcPr>
          <w:p w14:paraId="30861A08"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0.68</w:t>
            </w:r>
          </w:p>
        </w:tc>
        <w:tc>
          <w:tcPr>
            <w:tcW w:w="458" w:type="pct"/>
            <w:tcBorders>
              <w:top w:val="nil"/>
              <w:left w:val="nil"/>
              <w:bottom w:val="nil"/>
              <w:right w:val="nil"/>
            </w:tcBorders>
            <w:shd w:val="clear" w:color="auto" w:fill="auto"/>
            <w:noWrap/>
            <w:vAlign w:val="bottom"/>
            <w:hideMark/>
          </w:tcPr>
          <w:p w14:paraId="23A17981"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0.12</w:t>
            </w:r>
          </w:p>
        </w:tc>
        <w:tc>
          <w:tcPr>
            <w:tcW w:w="458" w:type="pct"/>
            <w:tcBorders>
              <w:top w:val="nil"/>
              <w:left w:val="nil"/>
              <w:bottom w:val="nil"/>
              <w:right w:val="nil"/>
            </w:tcBorders>
            <w:shd w:val="clear" w:color="auto" w:fill="auto"/>
            <w:noWrap/>
            <w:vAlign w:val="bottom"/>
            <w:hideMark/>
          </w:tcPr>
          <w:p w14:paraId="04BF001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0.44</w:t>
            </w:r>
          </w:p>
        </w:tc>
        <w:tc>
          <w:tcPr>
            <w:tcW w:w="519" w:type="pct"/>
            <w:tcBorders>
              <w:top w:val="nil"/>
              <w:left w:val="nil"/>
              <w:bottom w:val="nil"/>
              <w:right w:val="nil"/>
            </w:tcBorders>
            <w:shd w:val="clear" w:color="auto" w:fill="auto"/>
            <w:noWrap/>
            <w:vAlign w:val="bottom"/>
            <w:hideMark/>
          </w:tcPr>
          <w:p w14:paraId="2E741F7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0.91</w:t>
            </w:r>
          </w:p>
        </w:tc>
        <w:tc>
          <w:tcPr>
            <w:tcW w:w="458" w:type="pct"/>
            <w:tcBorders>
              <w:top w:val="nil"/>
              <w:left w:val="nil"/>
              <w:bottom w:val="nil"/>
              <w:right w:val="nil"/>
            </w:tcBorders>
            <w:shd w:val="clear" w:color="auto" w:fill="auto"/>
            <w:noWrap/>
            <w:vAlign w:val="bottom"/>
            <w:hideMark/>
          </w:tcPr>
          <w:p w14:paraId="37E8FF23"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0.4</w:t>
            </w:r>
          </w:p>
        </w:tc>
        <w:tc>
          <w:tcPr>
            <w:tcW w:w="455" w:type="pct"/>
            <w:tcBorders>
              <w:top w:val="nil"/>
              <w:left w:val="nil"/>
              <w:bottom w:val="nil"/>
              <w:right w:val="nil"/>
            </w:tcBorders>
            <w:shd w:val="clear" w:color="auto" w:fill="auto"/>
            <w:noWrap/>
            <w:vAlign w:val="bottom"/>
            <w:hideMark/>
          </w:tcPr>
          <w:p w14:paraId="0090BDC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0.58</w:t>
            </w:r>
          </w:p>
        </w:tc>
      </w:tr>
      <w:tr w:rsidR="00350F51" w:rsidRPr="005C41E0" w14:paraId="3DFB83CD" w14:textId="77777777" w:rsidTr="000C6384">
        <w:trPr>
          <w:trHeight w:val="285"/>
        </w:trPr>
        <w:tc>
          <w:tcPr>
            <w:tcW w:w="820" w:type="pct"/>
            <w:tcBorders>
              <w:top w:val="nil"/>
              <w:left w:val="nil"/>
              <w:bottom w:val="nil"/>
              <w:right w:val="nil"/>
            </w:tcBorders>
            <w:shd w:val="clear" w:color="auto" w:fill="auto"/>
            <w:noWrap/>
            <w:hideMark/>
          </w:tcPr>
          <w:p w14:paraId="43220E16"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Accuracy</w:t>
            </w:r>
          </w:p>
        </w:tc>
        <w:tc>
          <w:tcPr>
            <w:tcW w:w="458" w:type="pct"/>
            <w:tcBorders>
              <w:top w:val="nil"/>
              <w:left w:val="nil"/>
              <w:bottom w:val="nil"/>
              <w:right w:val="nil"/>
            </w:tcBorders>
            <w:shd w:val="clear" w:color="auto" w:fill="auto"/>
            <w:noWrap/>
            <w:vAlign w:val="bottom"/>
            <w:hideMark/>
          </w:tcPr>
          <w:p w14:paraId="0C8346E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0.92</w:t>
            </w:r>
          </w:p>
        </w:tc>
        <w:tc>
          <w:tcPr>
            <w:tcW w:w="458" w:type="pct"/>
            <w:tcBorders>
              <w:top w:val="nil"/>
              <w:left w:val="nil"/>
              <w:bottom w:val="nil"/>
              <w:right w:val="nil"/>
            </w:tcBorders>
            <w:shd w:val="clear" w:color="auto" w:fill="auto"/>
            <w:noWrap/>
            <w:vAlign w:val="bottom"/>
            <w:hideMark/>
          </w:tcPr>
          <w:p w14:paraId="234498EA"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0.82</w:t>
            </w:r>
          </w:p>
        </w:tc>
        <w:tc>
          <w:tcPr>
            <w:tcW w:w="458" w:type="pct"/>
            <w:tcBorders>
              <w:top w:val="nil"/>
              <w:left w:val="nil"/>
              <w:bottom w:val="nil"/>
              <w:right w:val="nil"/>
            </w:tcBorders>
            <w:shd w:val="clear" w:color="auto" w:fill="auto"/>
            <w:noWrap/>
            <w:vAlign w:val="bottom"/>
            <w:hideMark/>
          </w:tcPr>
          <w:p w14:paraId="19AAFFE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0.97</w:t>
            </w:r>
          </w:p>
        </w:tc>
        <w:tc>
          <w:tcPr>
            <w:tcW w:w="458" w:type="pct"/>
            <w:tcBorders>
              <w:top w:val="nil"/>
              <w:left w:val="nil"/>
              <w:bottom w:val="nil"/>
              <w:right w:val="nil"/>
            </w:tcBorders>
            <w:shd w:val="clear" w:color="auto" w:fill="auto"/>
            <w:noWrap/>
            <w:vAlign w:val="bottom"/>
            <w:hideMark/>
          </w:tcPr>
          <w:p w14:paraId="50292CC5"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0.83</w:t>
            </w:r>
          </w:p>
        </w:tc>
        <w:tc>
          <w:tcPr>
            <w:tcW w:w="458" w:type="pct"/>
            <w:tcBorders>
              <w:top w:val="nil"/>
              <w:left w:val="nil"/>
              <w:bottom w:val="nil"/>
              <w:right w:val="nil"/>
            </w:tcBorders>
            <w:shd w:val="clear" w:color="auto" w:fill="auto"/>
            <w:noWrap/>
            <w:vAlign w:val="bottom"/>
            <w:hideMark/>
          </w:tcPr>
          <w:p w14:paraId="56A75D34"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0.35</w:t>
            </w:r>
          </w:p>
        </w:tc>
        <w:tc>
          <w:tcPr>
            <w:tcW w:w="458" w:type="pct"/>
            <w:tcBorders>
              <w:top w:val="nil"/>
              <w:left w:val="nil"/>
              <w:bottom w:val="nil"/>
              <w:right w:val="nil"/>
            </w:tcBorders>
            <w:shd w:val="clear" w:color="auto" w:fill="auto"/>
            <w:noWrap/>
            <w:vAlign w:val="bottom"/>
            <w:hideMark/>
          </w:tcPr>
          <w:p w14:paraId="6DAF7359"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0.66</w:t>
            </w:r>
          </w:p>
        </w:tc>
        <w:tc>
          <w:tcPr>
            <w:tcW w:w="519" w:type="pct"/>
            <w:tcBorders>
              <w:top w:val="nil"/>
              <w:left w:val="nil"/>
              <w:bottom w:val="nil"/>
              <w:right w:val="nil"/>
            </w:tcBorders>
            <w:shd w:val="clear" w:color="auto" w:fill="auto"/>
            <w:noWrap/>
            <w:vAlign w:val="bottom"/>
            <w:hideMark/>
          </w:tcPr>
          <w:p w14:paraId="7EE906E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0.95</w:t>
            </w:r>
          </w:p>
        </w:tc>
        <w:tc>
          <w:tcPr>
            <w:tcW w:w="458" w:type="pct"/>
            <w:tcBorders>
              <w:top w:val="nil"/>
              <w:left w:val="nil"/>
              <w:bottom w:val="nil"/>
              <w:right w:val="nil"/>
            </w:tcBorders>
            <w:shd w:val="clear" w:color="auto" w:fill="auto"/>
            <w:noWrap/>
            <w:vAlign w:val="bottom"/>
            <w:hideMark/>
          </w:tcPr>
          <w:p w14:paraId="4CBAC993"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0.63</w:t>
            </w:r>
          </w:p>
        </w:tc>
        <w:tc>
          <w:tcPr>
            <w:tcW w:w="455" w:type="pct"/>
            <w:tcBorders>
              <w:top w:val="nil"/>
              <w:left w:val="nil"/>
              <w:bottom w:val="nil"/>
              <w:right w:val="nil"/>
            </w:tcBorders>
            <w:shd w:val="clear" w:color="auto" w:fill="auto"/>
            <w:noWrap/>
            <w:vAlign w:val="bottom"/>
            <w:hideMark/>
          </w:tcPr>
          <w:p w14:paraId="34D3D768"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0.76</w:t>
            </w:r>
          </w:p>
        </w:tc>
      </w:tr>
      <w:tr w:rsidR="00350F51" w:rsidRPr="005C41E0" w14:paraId="51FAEB71" w14:textId="77777777" w:rsidTr="000C6384">
        <w:trPr>
          <w:trHeight w:val="285"/>
        </w:trPr>
        <w:tc>
          <w:tcPr>
            <w:tcW w:w="820" w:type="pct"/>
            <w:tcBorders>
              <w:top w:val="nil"/>
              <w:left w:val="nil"/>
              <w:bottom w:val="nil"/>
              <w:right w:val="nil"/>
            </w:tcBorders>
            <w:shd w:val="clear" w:color="auto" w:fill="auto"/>
            <w:noWrap/>
            <w:hideMark/>
          </w:tcPr>
          <w:p w14:paraId="74FC3333"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CVg</w:t>
            </w:r>
          </w:p>
        </w:tc>
        <w:tc>
          <w:tcPr>
            <w:tcW w:w="458" w:type="pct"/>
            <w:tcBorders>
              <w:top w:val="nil"/>
              <w:left w:val="nil"/>
              <w:bottom w:val="nil"/>
              <w:right w:val="nil"/>
            </w:tcBorders>
            <w:shd w:val="clear" w:color="auto" w:fill="auto"/>
            <w:noWrap/>
            <w:vAlign w:val="bottom"/>
            <w:hideMark/>
          </w:tcPr>
          <w:p w14:paraId="0A4522AB"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24.35</w:t>
            </w:r>
          </w:p>
        </w:tc>
        <w:tc>
          <w:tcPr>
            <w:tcW w:w="458" w:type="pct"/>
            <w:tcBorders>
              <w:top w:val="nil"/>
              <w:left w:val="nil"/>
              <w:bottom w:val="nil"/>
              <w:right w:val="nil"/>
            </w:tcBorders>
            <w:shd w:val="clear" w:color="auto" w:fill="auto"/>
            <w:noWrap/>
            <w:vAlign w:val="bottom"/>
            <w:hideMark/>
          </w:tcPr>
          <w:p w14:paraId="194FA668"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28.09</w:t>
            </w:r>
          </w:p>
        </w:tc>
        <w:tc>
          <w:tcPr>
            <w:tcW w:w="458" w:type="pct"/>
            <w:tcBorders>
              <w:top w:val="nil"/>
              <w:left w:val="nil"/>
              <w:bottom w:val="nil"/>
              <w:right w:val="nil"/>
            </w:tcBorders>
            <w:shd w:val="clear" w:color="auto" w:fill="auto"/>
            <w:noWrap/>
            <w:vAlign w:val="bottom"/>
            <w:hideMark/>
          </w:tcPr>
          <w:p w14:paraId="1FAFA4AC"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27.72</w:t>
            </w:r>
          </w:p>
        </w:tc>
        <w:tc>
          <w:tcPr>
            <w:tcW w:w="458" w:type="pct"/>
            <w:tcBorders>
              <w:top w:val="nil"/>
              <w:left w:val="nil"/>
              <w:bottom w:val="nil"/>
              <w:right w:val="nil"/>
            </w:tcBorders>
            <w:shd w:val="clear" w:color="auto" w:fill="auto"/>
            <w:noWrap/>
            <w:vAlign w:val="bottom"/>
            <w:hideMark/>
          </w:tcPr>
          <w:p w14:paraId="304D1980"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28.53</w:t>
            </w:r>
          </w:p>
        </w:tc>
        <w:tc>
          <w:tcPr>
            <w:tcW w:w="458" w:type="pct"/>
            <w:tcBorders>
              <w:top w:val="nil"/>
              <w:left w:val="nil"/>
              <w:bottom w:val="nil"/>
              <w:right w:val="nil"/>
            </w:tcBorders>
            <w:shd w:val="clear" w:color="auto" w:fill="auto"/>
            <w:noWrap/>
            <w:vAlign w:val="bottom"/>
            <w:hideMark/>
          </w:tcPr>
          <w:p w14:paraId="18D81420"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21.79</w:t>
            </w:r>
          </w:p>
        </w:tc>
        <w:tc>
          <w:tcPr>
            <w:tcW w:w="458" w:type="pct"/>
            <w:tcBorders>
              <w:top w:val="nil"/>
              <w:left w:val="nil"/>
              <w:bottom w:val="nil"/>
              <w:right w:val="nil"/>
            </w:tcBorders>
            <w:shd w:val="clear" w:color="auto" w:fill="auto"/>
            <w:noWrap/>
            <w:vAlign w:val="bottom"/>
            <w:hideMark/>
          </w:tcPr>
          <w:p w14:paraId="3488D42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7.4</w:t>
            </w:r>
          </w:p>
        </w:tc>
        <w:tc>
          <w:tcPr>
            <w:tcW w:w="519" w:type="pct"/>
            <w:tcBorders>
              <w:top w:val="nil"/>
              <w:left w:val="nil"/>
              <w:bottom w:val="nil"/>
              <w:right w:val="nil"/>
            </w:tcBorders>
            <w:shd w:val="clear" w:color="auto" w:fill="auto"/>
            <w:noWrap/>
            <w:vAlign w:val="bottom"/>
            <w:hideMark/>
          </w:tcPr>
          <w:p w14:paraId="0040F0A3"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46.2</w:t>
            </w:r>
          </w:p>
        </w:tc>
        <w:tc>
          <w:tcPr>
            <w:tcW w:w="458" w:type="pct"/>
            <w:tcBorders>
              <w:top w:val="nil"/>
              <w:left w:val="nil"/>
              <w:bottom w:val="nil"/>
              <w:right w:val="nil"/>
            </w:tcBorders>
            <w:shd w:val="clear" w:color="auto" w:fill="auto"/>
            <w:noWrap/>
            <w:vAlign w:val="bottom"/>
            <w:hideMark/>
          </w:tcPr>
          <w:p w14:paraId="565C3D5C"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w:t>
            </w:r>
          </w:p>
        </w:tc>
        <w:tc>
          <w:tcPr>
            <w:tcW w:w="455" w:type="pct"/>
            <w:tcBorders>
              <w:top w:val="nil"/>
              <w:left w:val="nil"/>
              <w:bottom w:val="nil"/>
              <w:right w:val="nil"/>
            </w:tcBorders>
            <w:shd w:val="clear" w:color="auto" w:fill="auto"/>
            <w:noWrap/>
            <w:vAlign w:val="bottom"/>
            <w:hideMark/>
          </w:tcPr>
          <w:p w14:paraId="2BAAC95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31.06</w:t>
            </w:r>
          </w:p>
        </w:tc>
      </w:tr>
      <w:tr w:rsidR="00350F51" w:rsidRPr="005C41E0" w14:paraId="4A3CBCCD" w14:textId="77777777" w:rsidTr="000C6384">
        <w:trPr>
          <w:trHeight w:val="285"/>
        </w:trPr>
        <w:tc>
          <w:tcPr>
            <w:tcW w:w="820" w:type="pct"/>
            <w:tcBorders>
              <w:top w:val="nil"/>
              <w:left w:val="nil"/>
              <w:bottom w:val="nil"/>
              <w:right w:val="nil"/>
            </w:tcBorders>
            <w:shd w:val="clear" w:color="auto" w:fill="auto"/>
            <w:noWrap/>
            <w:hideMark/>
          </w:tcPr>
          <w:p w14:paraId="222729EA" w14:textId="77777777" w:rsidR="00350F51" w:rsidRPr="005C41E0" w:rsidRDefault="00350F51" w:rsidP="000C6384">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CVr</w:t>
            </w:r>
          </w:p>
        </w:tc>
        <w:tc>
          <w:tcPr>
            <w:tcW w:w="458" w:type="pct"/>
            <w:tcBorders>
              <w:top w:val="nil"/>
              <w:left w:val="nil"/>
              <w:bottom w:val="nil"/>
              <w:right w:val="nil"/>
            </w:tcBorders>
            <w:shd w:val="clear" w:color="auto" w:fill="auto"/>
            <w:noWrap/>
            <w:vAlign w:val="bottom"/>
            <w:hideMark/>
          </w:tcPr>
          <w:p w14:paraId="537FC402"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9.74</w:t>
            </w:r>
          </w:p>
        </w:tc>
        <w:tc>
          <w:tcPr>
            <w:tcW w:w="458" w:type="pct"/>
            <w:tcBorders>
              <w:top w:val="nil"/>
              <w:left w:val="nil"/>
              <w:bottom w:val="nil"/>
              <w:right w:val="nil"/>
            </w:tcBorders>
            <w:shd w:val="clear" w:color="auto" w:fill="auto"/>
            <w:noWrap/>
            <w:vAlign w:val="bottom"/>
            <w:hideMark/>
          </w:tcPr>
          <w:p w14:paraId="678F5DE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19.36</w:t>
            </w:r>
          </w:p>
        </w:tc>
        <w:tc>
          <w:tcPr>
            <w:tcW w:w="458" w:type="pct"/>
            <w:tcBorders>
              <w:top w:val="nil"/>
              <w:left w:val="nil"/>
              <w:bottom w:val="nil"/>
              <w:right w:val="nil"/>
            </w:tcBorders>
            <w:shd w:val="clear" w:color="auto" w:fill="auto"/>
            <w:noWrap/>
            <w:vAlign w:val="bottom"/>
            <w:hideMark/>
          </w:tcPr>
          <w:p w14:paraId="02139888"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5.69</w:t>
            </w:r>
          </w:p>
        </w:tc>
        <w:tc>
          <w:tcPr>
            <w:tcW w:w="458" w:type="pct"/>
            <w:tcBorders>
              <w:top w:val="nil"/>
              <w:left w:val="nil"/>
              <w:bottom w:val="nil"/>
              <w:right w:val="nil"/>
            </w:tcBorders>
            <w:shd w:val="clear" w:color="auto" w:fill="auto"/>
            <w:noWrap/>
            <w:vAlign w:val="bottom"/>
            <w:hideMark/>
          </w:tcPr>
          <w:p w14:paraId="44CF52C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19.13</w:t>
            </w:r>
          </w:p>
        </w:tc>
        <w:tc>
          <w:tcPr>
            <w:tcW w:w="458" w:type="pct"/>
            <w:tcBorders>
              <w:top w:val="nil"/>
              <w:left w:val="nil"/>
              <w:bottom w:val="nil"/>
              <w:right w:val="nil"/>
            </w:tcBorders>
            <w:shd w:val="clear" w:color="auto" w:fill="auto"/>
            <w:noWrap/>
            <w:vAlign w:val="bottom"/>
            <w:hideMark/>
          </w:tcPr>
          <w:p w14:paraId="60A8618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57.98</w:t>
            </w:r>
          </w:p>
        </w:tc>
        <w:tc>
          <w:tcPr>
            <w:tcW w:w="458" w:type="pct"/>
            <w:tcBorders>
              <w:top w:val="nil"/>
              <w:left w:val="nil"/>
              <w:bottom w:val="nil"/>
              <w:right w:val="nil"/>
            </w:tcBorders>
            <w:shd w:val="clear" w:color="auto" w:fill="auto"/>
            <w:noWrap/>
            <w:vAlign w:val="bottom"/>
            <w:hideMark/>
          </w:tcPr>
          <w:p w14:paraId="36B388AF"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8.27</w:t>
            </w:r>
          </w:p>
        </w:tc>
        <w:tc>
          <w:tcPr>
            <w:tcW w:w="519" w:type="pct"/>
            <w:tcBorders>
              <w:top w:val="nil"/>
              <w:left w:val="nil"/>
              <w:bottom w:val="nil"/>
              <w:right w:val="nil"/>
            </w:tcBorders>
            <w:shd w:val="clear" w:color="auto" w:fill="auto"/>
            <w:noWrap/>
            <w:vAlign w:val="bottom"/>
            <w:hideMark/>
          </w:tcPr>
          <w:p w14:paraId="208F8455"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13.98</w:t>
            </w:r>
          </w:p>
        </w:tc>
        <w:tc>
          <w:tcPr>
            <w:tcW w:w="458" w:type="pct"/>
            <w:tcBorders>
              <w:top w:val="nil"/>
              <w:left w:val="nil"/>
              <w:bottom w:val="nil"/>
              <w:right w:val="nil"/>
            </w:tcBorders>
            <w:shd w:val="clear" w:color="auto" w:fill="auto"/>
            <w:noWrap/>
            <w:vAlign w:val="bottom"/>
            <w:hideMark/>
          </w:tcPr>
          <w:p w14:paraId="3CD473CA"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0.97</w:t>
            </w:r>
          </w:p>
        </w:tc>
        <w:tc>
          <w:tcPr>
            <w:tcW w:w="455" w:type="pct"/>
            <w:tcBorders>
              <w:top w:val="nil"/>
              <w:left w:val="nil"/>
              <w:bottom w:val="nil"/>
              <w:right w:val="nil"/>
            </w:tcBorders>
            <w:shd w:val="clear" w:color="auto" w:fill="auto"/>
            <w:noWrap/>
            <w:vAlign w:val="bottom"/>
            <w:hideMark/>
          </w:tcPr>
          <w:p w14:paraId="3D6AEE17"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26.18</w:t>
            </w:r>
          </w:p>
        </w:tc>
      </w:tr>
      <w:tr w:rsidR="00350F51" w:rsidRPr="005C41E0" w14:paraId="44FC9BBC" w14:textId="77777777" w:rsidTr="000C6384">
        <w:trPr>
          <w:trHeight w:val="285"/>
        </w:trPr>
        <w:tc>
          <w:tcPr>
            <w:tcW w:w="820" w:type="pct"/>
            <w:tcBorders>
              <w:top w:val="nil"/>
              <w:left w:val="nil"/>
              <w:bottom w:val="single" w:sz="4" w:space="0" w:color="auto"/>
              <w:right w:val="nil"/>
            </w:tcBorders>
            <w:shd w:val="clear" w:color="auto" w:fill="auto"/>
            <w:noWrap/>
            <w:hideMark/>
          </w:tcPr>
          <w:p w14:paraId="1723D326" w14:textId="77777777" w:rsidR="00350F51" w:rsidRPr="005C41E0" w:rsidRDefault="00350F51" w:rsidP="000C6384">
            <w:pPr>
              <w:tabs>
                <w:tab w:val="left" w:pos="180"/>
                <w:tab w:val="center" w:pos="636"/>
              </w:tabs>
              <w:spacing w:after="0" w:line="240" w:lineRule="auto"/>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ab/>
            </w:r>
            <w:r w:rsidRPr="005C41E0">
              <w:rPr>
                <w:rFonts w:ascii="Times New Roman" w:eastAsia="Times New Roman" w:hAnsi="Times New Roman" w:cs="Times New Roman"/>
                <w:color w:val="000000"/>
                <w:sz w:val="20"/>
                <w:szCs w:val="20"/>
                <w:lang w:val="en-US"/>
              </w:rPr>
              <w:tab/>
              <w:t>CVg/CVr</w:t>
            </w:r>
          </w:p>
        </w:tc>
        <w:tc>
          <w:tcPr>
            <w:tcW w:w="458" w:type="pct"/>
            <w:tcBorders>
              <w:top w:val="nil"/>
              <w:left w:val="nil"/>
              <w:bottom w:val="single" w:sz="4" w:space="0" w:color="auto"/>
              <w:right w:val="nil"/>
            </w:tcBorders>
            <w:shd w:val="clear" w:color="auto" w:fill="auto"/>
            <w:noWrap/>
            <w:vAlign w:val="bottom"/>
            <w:hideMark/>
          </w:tcPr>
          <w:p w14:paraId="54682801"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2.5</w:t>
            </w:r>
          </w:p>
        </w:tc>
        <w:tc>
          <w:tcPr>
            <w:tcW w:w="458" w:type="pct"/>
            <w:tcBorders>
              <w:top w:val="nil"/>
              <w:left w:val="nil"/>
              <w:bottom w:val="single" w:sz="4" w:space="0" w:color="auto"/>
              <w:right w:val="nil"/>
            </w:tcBorders>
            <w:shd w:val="clear" w:color="auto" w:fill="auto"/>
            <w:noWrap/>
            <w:vAlign w:val="bottom"/>
            <w:hideMark/>
          </w:tcPr>
          <w:p w14:paraId="3AD387FA"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1.45</w:t>
            </w:r>
          </w:p>
        </w:tc>
        <w:tc>
          <w:tcPr>
            <w:tcW w:w="458" w:type="pct"/>
            <w:tcBorders>
              <w:top w:val="nil"/>
              <w:left w:val="nil"/>
              <w:bottom w:val="single" w:sz="4" w:space="0" w:color="auto"/>
              <w:right w:val="nil"/>
            </w:tcBorders>
            <w:shd w:val="clear" w:color="auto" w:fill="auto"/>
            <w:noWrap/>
            <w:vAlign w:val="bottom"/>
            <w:hideMark/>
          </w:tcPr>
          <w:p w14:paraId="601464F3"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4.86</w:t>
            </w:r>
          </w:p>
        </w:tc>
        <w:tc>
          <w:tcPr>
            <w:tcW w:w="458" w:type="pct"/>
            <w:tcBorders>
              <w:top w:val="nil"/>
              <w:left w:val="nil"/>
              <w:bottom w:val="single" w:sz="4" w:space="0" w:color="auto"/>
              <w:right w:val="nil"/>
            </w:tcBorders>
            <w:shd w:val="clear" w:color="auto" w:fill="auto"/>
            <w:noWrap/>
            <w:vAlign w:val="bottom"/>
            <w:hideMark/>
          </w:tcPr>
          <w:p w14:paraId="0971A409"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1.49</w:t>
            </w:r>
          </w:p>
        </w:tc>
        <w:tc>
          <w:tcPr>
            <w:tcW w:w="458" w:type="pct"/>
            <w:tcBorders>
              <w:top w:val="nil"/>
              <w:left w:val="nil"/>
              <w:bottom w:val="single" w:sz="4" w:space="0" w:color="auto"/>
              <w:right w:val="nil"/>
            </w:tcBorders>
            <w:shd w:val="clear" w:color="auto" w:fill="auto"/>
            <w:noWrap/>
            <w:vAlign w:val="bottom"/>
            <w:hideMark/>
          </w:tcPr>
          <w:p w14:paraId="67AE9401"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0.37</w:t>
            </w:r>
          </w:p>
        </w:tc>
        <w:tc>
          <w:tcPr>
            <w:tcW w:w="458" w:type="pct"/>
            <w:tcBorders>
              <w:top w:val="nil"/>
              <w:left w:val="nil"/>
              <w:bottom w:val="single" w:sz="4" w:space="0" w:color="auto"/>
              <w:right w:val="nil"/>
            </w:tcBorders>
            <w:shd w:val="clear" w:color="auto" w:fill="auto"/>
            <w:noWrap/>
            <w:vAlign w:val="bottom"/>
            <w:hideMark/>
          </w:tcPr>
          <w:p w14:paraId="2F70E70C"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0.89</w:t>
            </w:r>
          </w:p>
        </w:tc>
        <w:tc>
          <w:tcPr>
            <w:tcW w:w="519" w:type="pct"/>
            <w:tcBorders>
              <w:top w:val="nil"/>
              <w:left w:val="nil"/>
              <w:bottom w:val="single" w:sz="4" w:space="0" w:color="auto"/>
              <w:right w:val="nil"/>
            </w:tcBorders>
            <w:shd w:val="clear" w:color="auto" w:fill="auto"/>
            <w:noWrap/>
            <w:vAlign w:val="bottom"/>
            <w:hideMark/>
          </w:tcPr>
          <w:p w14:paraId="195C746E"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3.3</w:t>
            </w:r>
          </w:p>
        </w:tc>
        <w:tc>
          <w:tcPr>
            <w:tcW w:w="458" w:type="pct"/>
            <w:tcBorders>
              <w:top w:val="nil"/>
              <w:left w:val="nil"/>
              <w:bottom w:val="single" w:sz="4" w:space="0" w:color="auto"/>
              <w:right w:val="nil"/>
            </w:tcBorders>
            <w:shd w:val="clear" w:color="auto" w:fill="auto"/>
            <w:noWrap/>
            <w:vAlign w:val="bottom"/>
            <w:hideMark/>
          </w:tcPr>
          <w:p w14:paraId="0AEB54DD"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0.82</w:t>
            </w:r>
          </w:p>
        </w:tc>
        <w:tc>
          <w:tcPr>
            <w:tcW w:w="455" w:type="pct"/>
            <w:tcBorders>
              <w:top w:val="nil"/>
              <w:left w:val="nil"/>
              <w:bottom w:val="single" w:sz="4" w:space="0" w:color="auto"/>
              <w:right w:val="nil"/>
            </w:tcBorders>
            <w:shd w:val="clear" w:color="auto" w:fill="auto"/>
            <w:noWrap/>
            <w:vAlign w:val="bottom"/>
            <w:hideMark/>
          </w:tcPr>
          <w:p w14:paraId="01235EE8" w14:textId="77777777" w:rsidR="00350F51" w:rsidRPr="005C41E0" w:rsidRDefault="00350F51" w:rsidP="006B6131">
            <w:pPr>
              <w:spacing w:after="0" w:line="240" w:lineRule="auto"/>
              <w:jc w:val="center"/>
              <w:rPr>
                <w:rFonts w:ascii="Times New Roman" w:eastAsia="Times New Roman" w:hAnsi="Times New Roman" w:cs="Times New Roman"/>
                <w:color w:val="000000"/>
                <w:sz w:val="20"/>
                <w:szCs w:val="20"/>
                <w:lang w:val="en-US"/>
              </w:rPr>
            </w:pPr>
            <w:r w:rsidRPr="005C41E0">
              <w:rPr>
                <w:rFonts w:ascii="Times New Roman" w:eastAsia="Times New Roman" w:hAnsi="Times New Roman" w:cs="Times New Roman"/>
                <w:color w:val="000000"/>
                <w:sz w:val="20"/>
                <w:szCs w:val="20"/>
                <w:lang w:val="en-US"/>
              </w:rPr>
              <w:t>1.18</w:t>
            </w:r>
          </w:p>
        </w:tc>
      </w:tr>
    </w:tbl>
    <w:p w14:paraId="29EF50A5" w14:textId="77777777" w:rsidR="00350F51" w:rsidRPr="000E67DC" w:rsidRDefault="00350F51" w:rsidP="00350F51">
      <w:pPr>
        <w:spacing w:after="0" w:line="240" w:lineRule="auto"/>
        <w:jc w:val="both"/>
        <w:rPr>
          <w:rFonts w:ascii="Times New Roman" w:hAnsi="Times New Roman" w:cs="Times New Roman"/>
          <w:noProof/>
          <w:sz w:val="20"/>
          <w:szCs w:val="20"/>
        </w:rPr>
      </w:pPr>
      <w:r w:rsidRPr="005C41E0">
        <w:rPr>
          <w:rFonts w:ascii="Times New Roman" w:hAnsi="Times New Roman" w:cs="Times New Roman"/>
          <w:noProof/>
          <w:sz w:val="18"/>
          <w:szCs w:val="18"/>
        </w:rPr>
        <w:t>Note: SFP = Seed Filling Periode; W100 = Weight of 100 Seeds; NSP = Number of Seed per Plant; PH = Plant Height; WST= Weight of Seed per Plant; WSP = Weight of Seed per Plot; WB = Weight of Biomass</w:t>
      </w:r>
    </w:p>
    <w:p w14:paraId="062E1456" w14:textId="77777777" w:rsidR="00D83748" w:rsidRPr="000E67DC" w:rsidRDefault="00D83748" w:rsidP="00106639">
      <w:pPr>
        <w:spacing w:after="0" w:line="360" w:lineRule="auto"/>
        <w:jc w:val="both"/>
        <w:rPr>
          <w:rFonts w:ascii="Times New Roman" w:eastAsia="Merriweather" w:hAnsi="Times New Roman" w:cs="Times New Roman"/>
          <w:b/>
          <w:bCs/>
          <w:iCs/>
          <w:sz w:val="20"/>
          <w:szCs w:val="20"/>
        </w:rPr>
      </w:pPr>
    </w:p>
    <w:p w14:paraId="063D0D62" w14:textId="77777777" w:rsidR="00DF13FA" w:rsidRPr="000E67DC" w:rsidRDefault="00DF13FA" w:rsidP="00DF13FA">
      <w:pPr>
        <w:spacing w:after="0" w:line="360" w:lineRule="auto"/>
        <w:jc w:val="center"/>
        <w:rPr>
          <w:rFonts w:ascii="Times New Roman" w:eastAsia="Merriweather" w:hAnsi="Times New Roman" w:cs="Times New Roman"/>
          <w:b/>
          <w:bCs/>
          <w:iCs/>
          <w:sz w:val="20"/>
          <w:szCs w:val="20"/>
        </w:rPr>
      </w:pPr>
      <w:r w:rsidRPr="000E67DC">
        <w:rPr>
          <w:rFonts w:ascii="Times New Roman" w:eastAsia="Merriweather" w:hAnsi="Times New Roman" w:cs="Times New Roman"/>
          <w:b/>
          <w:bCs/>
          <w:iCs/>
          <w:noProof/>
          <w:sz w:val="20"/>
          <w:szCs w:val="20"/>
        </w:rPr>
        <w:lastRenderedPageBreak/>
        <w:drawing>
          <wp:inline distT="0" distB="0" distL="0" distR="0" wp14:anchorId="33171C17" wp14:editId="2E04FBFD">
            <wp:extent cx="2669480" cy="2374711"/>
            <wp:effectExtent l="0" t="0" r="0" b="6985"/>
            <wp:docPr id="480813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3797" name="Picture 480813797"/>
                    <pic:cNvPicPr/>
                  </pic:nvPicPr>
                  <pic:blipFill rotWithShape="1">
                    <a:blip r:embed="rId20" cstate="print">
                      <a:extLst>
                        <a:ext uri="{28A0092B-C50C-407E-A947-70E740481C1C}">
                          <a14:useLocalDpi xmlns:a14="http://schemas.microsoft.com/office/drawing/2010/main" val="0"/>
                        </a:ext>
                      </a:extLst>
                    </a:blip>
                    <a:srcRect t="6970" b="6300"/>
                    <a:stretch/>
                  </pic:blipFill>
                  <pic:spPr bwMode="auto">
                    <a:xfrm>
                      <a:off x="0" y="0"/>
                      <a:ext cx="2695977" cy="2398282"/>
                    </a:xfrm>
                    <a:prstGeom prst="rect">
                      <a:avLst/>
                    </a:prstGeom>
                    <a:ln>
                      <a:noFill/>
                    </a:ln>
                    <a:extLst>
                      <a:ext uri="{53640926-AAD7-44D8-BBD7-CCE9431645EC}">
                        <a14:shadowObscured xmlns:a14="http://schemas.microsoft.com/office/drawing/2010/main"/>
                      </a:ext>
                    </a:extLst>
                  </pic:spPr>
                </pic:pic>
              </a:graphicData>
            </a:graphic>
          </wp:inline>
        </w:drawing>
      </w:r>
    </w:p>
    <w:p w14:paraId="2EA6A122" w14:textId="04F5A84B" w:rsidR="00350F51" w:rsidRPr="00DF13FA" w:rsidRDefault="00DF13FA" w:rsidP="00DF13FA">
      <w:pPr>
        <w:spacing w:after="0" w:line="240" w:lineRule="auto"/>
        <w:jc w:val="both"/>
        <w:rPr>
          <w:rFonts w:ascii="Times New Roman" w:hAnsi="Times New Roman" w:cs="Times New Roman"/>
          <w:noProof/>
          <w:sz w:val="20"/>
          <w:szCs w:val="20"/>
        </w:rPr>
      </w:pPr>
      <w:r w:rsidRPr="000E67DC">
        <w:rPr>
          <w:rFonts w:ascii="Times New Roman" w:eastAsia="Merriweather" w:hAnsi="Times New Roman" w:cs="Times New Roman"/>
          <w:iCs/>
          <w:sz w:val="20"/>
          <w:szCs w:val="20"/>
        </w:rPr>
        <w:t xml:space="preserve">Figure 2. Pearson’s correlation network plot between traits, </w:t>
      </w:r>
      <w:r w:rsidRPr="000E67DC">
        <w:rPr>
          <w:rFonts w:ascii="Times New Roman" w:hAnsi="Times New Roman" w:cs="Times New Roman"/>
          <w:noProof/>
          <w:sz w:val="20"/>
          <w:szCs w:val="20"/>
        </w:rPr>
        <w:t>SFP = Seed Filling Periode; W100 = Weight of 100 Seeds; NSP = Number of Seed per Plant; PH = Plant Height; WST= Weight of Seed per Plant; WSP = Weight of Seed per Plot; WB = Weight of Biomass, GP = Generatif Phase (R1-R8)</w:t>
      </w:r>
    </w:p>
    <w:p w14:paraId="6FFC7C3A" w14:textId="77777777" w:rsidR="00BC716D" w:rsidRDefault="00BC716D" w:rsidP="00350F51">
      <w:pPr>
        <w:spacing w:after="0" w:line="240" w:lineRule="auto"/>
        <w:ind w:firstLine="426"/>
        <w:jc w:val="both"/>
        <w:rPr>
          <w:rFonts w:ascii="Times New Roman" w:eastAsia="Book Antiqua" w:hAnsi="Times New Roman" w:cs="Times New Roman"/>
          <w:iCs/>
        </w:rPr>
      </w:pPr>
    </w:p>
    <w:p w14:paraId="1A3BE484" w14:textId="58E07A2E" w:rsidR="008A420B" w:rsidRPr="005C41E0" w:rsidRDefault="00106639" w:rsidP="0080075D">
      <w:pPr>
        <w:spacing w:after="0" w:line="360" w:lineRule="auto"/>
        <w:jc w:val="center"/>
        <w:rPr>
          <w:rFonts w:ascii="Times New Roman" w:eastAsia="Merriweather" w:hAnsi="Times New Roman" w:cs="Times New Roman"/>
          <w:iCs/>
          <w:sz w:val="20"/>
          <w:szCs w:val="20"/>
        </w:rPr>
      </w:pPr>
      <w:r w:rsidRPr="00FA62AB">
        <w:rPr>
          <w:rFonts w:ascii="Times New Roman" w:eastAsia="Merriweather" w:hAnsi="Times New Roman" w:cs="Times New Roman"/>
          <w:b/>
          <w:bCs/>
          <w:iCs/>
          <w:sz w:val="20"/>
          <w:szCs w:val="20"/>
        </w:rPr>
        <w:t xml:space="preserve">Table </w:t>
      </w:r>
      <w:r w:rsidR="00350F51" w:rsidRPr="00FA62AB">
        <w:rPr>
          <w:rFonts w:ascii="Times New Roman" w:eastAsia="Merriweather" w:hAnsi="Times New Roman" w:cs="Times New Roman"/>
          <w:b/>
          <w:bCs/>
          <w:iCs/>
          <w:sz w:val="20"/>
          <w:szCs w:val="20"/>
        </w:rPr>
        <w:t>6</w:t>
      </w:r>
      <w:r w:rsidRPr="00FA62AB">
        <w:rPr>
          <w:rFonts w:ascii="Times New Roman" w:eastAsia="Merriweather" w:hAnsi="Times New Roman" w:cs="Times New Roman"/>
          <w:b/>
          <w:bCs/>
          <w:iCs/>
          <w:sz w:val="20"/>
          <w:szCs w:val="20"/>
        </w:rPr>
        <w:t>.</w:t>
      </w:r>
      <w:r w:rsidRPr="005C41E0">
        <w:rPr>
          <w:rFonts w:ascii="Times New Roman" w:eastAsia="Merriweather" w:hAnsi="Times New Roman" w:cs="Times New Roman"/>
          <w:iCs/>
          <w:sz w:val="20"/>
          <w:szCs w:val="20"/>
        </w:rPr>
        <w:t xml:space="preserve"> Yield Potential of Soybean Genotypes in Wetland during dry season</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3055"/>
        <w:gridCol w:w="3916"/>
      </w:tblGrid>
      <w:tr w:rsidR="008A420B" w:rsidRPr="005C41E0" w14:paraId="11BE2E98" w14:textId="77777777" w:rsidTr="006B6131">
        <w:trPr>
          <w:jc w:val="center"/>
        </w:trPr>
        <w:tc>
          <w:tcPr>
            <w:tcW w:w="1274" w:type="pct"/>
            <w:tcBorders>
              <w:top w:val="single" w:sz="4" w:space="0" w:color="auto"/>
              <w:bottom w:val="single" w:sz="4" w:space="0" w:color="auto"/>
            </w:tcBorders>
            <w:vAlign w:val="center"/>
          </w:tcPr>
          <w:p w14:paraId="06BA4ED5"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eastAsia="Merriweather" w:hAnsi="Times New Roman" w:cs="Times New Roman"/>
                <w:sz w:val="20"/>
                <w:szCs w:val="20"/>
              </w:rPr>
              <w:t>Genotype</w:t>
            </w:r>
          </w:p>
        </w:tc>
        <w:tc>
          <w:tcPr>
            <w:tcW w:w="1633" w:type="pct"/>
            <w:tcBorders>
              <w:top w:val="single" w:sz="4" w:space="0" w:color="auto"/>
              <w:bottom w:val="single" w:sz="4" w:space="0" w:color="auto"/>
            </w:tcBorders>
            <w:vAlign w:val="center"/>
          </w:tcPr>
          <w:p w14:paraId="219FD11E" w14:textId="45465213" w:rsidR="008A420B" w:rsidRPr="005C41E0" w:rsidRDefault="008E4DA2" w:rsidP="00DF3A1A">
            <w:pPr>
              <w:jc w:val="center"/>
              <w:rPr>
                <w:rFonts w:ascii="Times New Roman" w:eastAsia="Merriweather" w:hAnsi="Times New Roman" w:cs="Times New Roman"/>
                <w:sz w:val="20"/>
                <w:szCs w:val="20"/>
              </w:rPr>
            </w:pPr>
            <w:r w:rsidRPr="005C41E0">
              <w:rPr>
                <w:rFonts w:ascii="Times New Roman" w:hAnsi="Times New Roman" w:cs="Times New Roman"/>
                <w:noProof/>
                <w:sz w:val="20"/>
                <w:szCs w:val="20"/>
              </w:rPr>
              <w:t>Yield</w:t>
            </w:r>
            <w:r w:rsidR="00106639" w:rsidRPr="005C41E0">
              <w:rPr>
                <w:rFonts w:ascii="Times New Roman" w:hAnsi="Times New Roman" w:cs="Times New Roman"/>
                <w:noProof/>
                <w:sz w:val="20"/>
                <w:szCs w:val="20"/>
              </w:rPr>
              <w:t xml:space="preserve"> per Plot</w:t>
            </w:r>
            <w:r w:rsidR="00106639" w:rsidRPr="005C41E0">
              <w:rPr>
                <w:rFonts w:ascii="Times New Roman" w:eastAsia="Merriweather" w:hAnsi="Times New Roman" w:cs="Times New Roman"/>
                <w:sz w:val="20"/>
                <w:szCs w:val="20"/>
              </w:rPr>
              <w:t xml:space="preserve"> </w:t>
            </w:r>
            <w:r w:rsidR="008A420B" w:rsidRPr="005C41E0">
              <w:rPr>
                <w:rFonts w:ascii="Times New Roman" w:eastAsia="Merriweather" w:hAnsi="Times New Roman" w:cs="Times New Roman"/>
                <w:sz w:val="20"/>
                <w:szCs w:val="20"/>
              </w:rPr>
              <w:t>(kg)</w:t>
            </w:r>
          </w:p>
        </w:tc>
        <w:tc>
          <w:tcPr>
            <w:tcW w:w="2093" w:type="pct"/>
            <w:tcBorders>
              <w:top w:val="single" w:sz="4" w:space="0" w:color="auto"/>
              <w:bottom w:val="single" w:sz="4" w:space="0" w:color="auto"/>
            </w:tcBorders>
            <w:vAlign w:val="center"/>
          </w:tcPr>
          <w:p w14:paraId="541DAE8D" w14:textId="77A96A5D" w:rsidR="008A420B" w:rsidRPr="005C41E0" w:rsidRDefault="00106639" w:rsidP="0080075D">
            <w:pPr>
              <w:jc w:val="center"/>
              <w:rPr>
                <w:rFonts w:ascii="Times New Roman" w:eastAsia="Merriweather" w:hAnsi="Times New Roman" w:cs="Times New Roman"/>
                <w:sz w:val="20"/>
                <w:szCs w:val="20"/>
              </w:rPr>
            </w:pPr>
            <w:r w:rsidRPr="005C41E0">
              <w:rPr>
                <w:rFonts w:ascii="Times New Roman" w:eastAsia="Merriweather" w:hAnsi="Times New Roman" w:cs="Times New Roman"/>
                <w:sz w:val="20"/>
                <w:szCs w:val="20"/>
              </w:rPr>
              <w:t>Yield Potential</w:t>
            </w:r>
            <w:r w:rsidR="0080075D" w:rsidRPr="005C41E0">
              <w:rPr>
                <w:rFonts w:ascii="Times New Roman" w:eastAsia="Merriweather" w:hAnsi="Times New Roman" w:cs="Times New Roman"/>
                <w:sz w:val="20"/>
                <w:szCs w:val="20"/>
              </w:rPr>
              <w:t xml:space="preserve"> </w:t>
            </w:r>
            <w:r w:rsidR="008A420B" w:rsidRPr="005C41E0">
              <w:rPr>
                <w:rFonts w:ascii="Times New Roman" w:eastAsia="Merriweather" w:hAnsi="Times New Roman" w:cs="Times New Roman"/>
                <w:sz w:val="20"/>
                <w:szCs w:val="20"/>
              </w:rPr>
              <w:t>(ton ha</w:t>
            </w:r>
            <w:r w:rsidR="008A420B" w:rsidRPr="005C41E0">
              <w:rPr>
                <w:rFonts w:ascii="Times New Roman" w:eastAsia="Merriweather" w:hAnsi="Times New Roman" w:cs="Times New Roman"/>
                <w:sz w:val="20"/>
                <w:szCs w:val="20"/>
                <w:vertAlign w:val="superscript"/>
              </w:rPr>
              <w:t>-1</w:t>
            </w:r>
            <w:r w:rsidR="008A420B" w:rsidRPr="005C41E0">
              <w:rPr>
                <w:rFonts w:ascii="Times New Roman" w:eastAsia="Merriweather" w:hAnsi="Times New Roman" w:cs="Times New Roman"/>
                <w:sz w:val="20"/>
                <w:szCs w:val="20"/>
              </w:rPr>
              <w:t>)</w:t>
            </w:r>
          </w:p>
        </w:tc>
      </w:tr>
      <w:tr w:rsidR="008A420B" w:rsidRPr="005C41E0" w14:paraId="719C0995" w14:textId="77777777" w:rsidTr="006B6131">
        <w:trPr>
          <w:jc w:val="center"/>
        </w:trPr>
        <w:tc>
          <w:tcPr>
            <w:tcW w:w="1274" w:type="pct"/>
            <w:tcBorders>
              <w:top w:val="single" w:sz="4" w:space="0" w:color="auto"/>
            </w:tcBorders>
            <w:vAlign w:val="center"/>
          </w:tcPr>
          <w:p w14:paraId="480E28C0"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Argomulyo</w:t>
            </w:r>
          </w:p>
        </w:tc>
        <w:tc>
          <w:tcPr>
            <w:tcW w:w="1633" w:type="pct"/>
            <w:tcBorders>
              <w:top w:val="single" w:sz="4" w:space="0" w:color="auto"/>
            </w:tcBorders>
          </w:tcPr>
          <w:p w14:paraId="623E3C0B"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0.69</w:t>
            </w:r>
          </w:p>
        </w:tc>
        <w:tc>
          <w:tcPr>
            <w:tcW w:w="2093" w:type="pct"/>
            <w:tcBorders>
              <w:top w:val="single" w:sz="4" w:space="0" w:color="auto"/>
            </w:tcBorders>
          </w:tcPr>
          <w:p w14:paraId="08925A3A"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1.14</w:t>
            </w:r>
          </w:p>
        </w:tc>
      </w:tr>
      <w:tr w:rsidR="008A420B" w:rsidRPr="005C41E0" w14:paraId="58E9EA0C" w14:textId="77777777" w:rsidTr="006B6131">
        <w:trPr>
          <w:jc w:val="center"/>
        </w:trPr>
        <w:tc>
          <w:tcPr>
            <w:tcW w:w="1274" w:type="pct"/>
            <w:vAlign w:val="center"/>
          </w:tcPr>
          <w:p w14:paraId="0A2880E9"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Anjasmoro</w:t>
            </w:r>
          </w:p>
        </w:tc>
        <w:tc>
          <w:tcPr>
            <w:tcW w:w="1633" w:type="pct"/>
          </w:tcPr>
          <w:p w14:paraId="4EE60DC9"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0.40</w:t>
            </w:r>
          </w:p>
        </w:tc>
        <w:tc>
          <w:tcPr>
            <w:tcW w:w="2093" w:type="pct"/>
          </w:tcPr>
          <w:p w14:paraId="6AABB92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0.67</w:t>
            </w:r>
          </w:p>
        </w:tc>
      </w:tr>
      <w:tr w:rsidR="008A420B" w:rsidRPr="005C41E0" w14:paraId="63348799" w14:textId="77777777" w:rsidTr="006B6131">
        <w:trPr>
          <w:jc w:val="center"/>
        </w:trPr>
        <w:tc>
          <w:tcPr>
            <w:tcW w:w="1274" w:type="pct"/>
            <w:vAlign w:val="center"/>
          </w:tcPr>
          <w:p w14:paraId="20C4BE01"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Biosoy</w:t>
            </w:r>
          </w:p>
        </w:tc>
        <w:tc>
          <w:tcPr>
            <w:tcW w:w="1633" w:type="pct"/>
          </w:tcPr>
          <w:p w14:paraId="36B9F891"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0.39</w:t>
            </w:r>
          </w:p>
        </w:tc>
        <w:tc>
          <w:tcPr>
            <w:tcW w:w="2093" w:type="pct"/>
          </w:tcPr>
          <w:p w14:paraId="1781A21A"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0.65</w:t>
            </w:r>
          </w:p>
        </w:tc>
      </w:tr>
      <w:tr w:rsidR="008A420B" w:rsidRPr="005C41E0" w14:paraId="514E2715" w14:textId="77777777" w:rsidTr="006B6131">
        <w:trPr>
          <w:jc w:val="center"/>
        </w:trPr>
        <w:tc>
          <w:tcPr>
            <w:tcW w:w="1274" w:type="pct"/>
            <w:vAlign w:val="center"/>
          </w:tcPr>
          <w:p w14:paraId="7142F5B6"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Dega 1</w:t>
            </w:r>
          </w:p>
        </w:tc>
        <w:tc>
          <w:tcPr>
            <w:tcW w:w="1633" w:type="pct"/>
          </w:tcPr>
          <w:p w14:paraId="30D92DFF"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0.50</w:t>
            </w:r>
          </w:p>
        </w:tc>
        <w:tc>
          <w:tcPr>
            <w:tcW w:w="2093" w:type="pct"/>
          </w:tcPr>
          <w:p w14:paraId="16C6524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0.83</w:t>
            </w:r>
          </w:p>
        </w:tc>
      </w:tr>
      <w:tr w:rsidR="008A420B" w:rsidRPr="005C41E0" w14:paraId="27982E08" w14:textId="77777777" w:rsidTr="006B6131">
        <w:trPr>
          <w:jc w:val="center"/>
        </w:trPr>
        <w:tc>
          <w:tcPr>
            <w:tcW w:w="1274" w:type="pct"/>
            <w:vAlign w:val="center"/>
          </w:tcPr>
          <w:p w14:paraId="3E3E358F"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Deja 1</w:t>
            </w:r>
          </w:p>
        </w:tc>
        <w:tc>
          <w:tcPr>
            <w:tcW w:w="1633" w:type="pct"/>
          </w:tcPr>
          <w:p w14:paraId="73997C1F"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1.05</w:t>
            </w:r>
          </w:p>
        </w:tc>
        <w:tc>
          <w:tcPr>
            <w:tcW w:w="2093" w:type="pct"/>
          </w:tcPr>
          <w:p w14:paraId="623BB4E9"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 xml:space="preserve">1.75 </w:t>
            </w:r>
          </w:p>
        </w:tc>
      </w:tr>
      <w:tr w:rsidR="008A420B" w:rsidRPr="005C41E0" w14:paraId="03D5813E" w14:textId="77777777" w:rsidTr="006B6131">
        <w:trPr>
          <w:jc w:val="center"/>
        </w:trPr>
        <w:tc>
          <w:tcPr>
            <w:tcW w:w="1274" w:type="pct"/>
            <w:vAlign w:val="center"/>
          </w:tcPr>
          <w:p w14:paraId="142AA527"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Deja 2</w:t>
            </w:r>
          </w:p>
        </w:tc>
        <w:tc>
          <w:tcPr>
            <w:tcW w:w="1633" w:type="pct"/>
          </w:tcPr>
          <w:p w14:paraId="430E7E24"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0.79</w:t>
            </w:r>
          </w:p>
        </w:tc>
        <w:tc>
          <w:tcPr>
            <w:tcW w:w="2093" w:type="pct"/>
          </w:tcPr>
          <w:p w14:paraId="1E0A1507"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1.32</w:t>
            </w:r>
          </w:p>
        </w:tc>
      </w:tr>
      <w:tr w:rsidR="008A420B" w:rsidRPr="005C41E0" w14:paraId="58DB4772" w14:textId="77777777" w:rsidTr="006B6131">
        <w:trPr>
          <w:jc w:val="center"/>
        </w:trPr>
        <w:tc>
          <w:tcPr>
            <w:tcW w:w="1274" w:type="pct"/>
            <w:vAlign w:val="center"/>
          </w:tcPr>
          <w:p w14:paraId="30CBD6E1"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Gepak kuning</w:t>
            </w:r>
          </w:p>
        </w:tc>
        <w:tc>
          <w:tcPr>
            <w:tcW w:w="1633" w:type="pct"/>
          </w:tcPr>
          <w:p w14:paraId="16FF47CA"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0.57</w:t>
            </w:r>
          </w:p>
        </w:tc>
        <w:tc>
          <w:tcPr>
            <w:tcW w:w="2093" w:type="pct"/>
          </w:tcPr>
          <w:p w14:paraId="5A71BFE3"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0.95</w:t>
            </w:r>
          </w:p>
        </w:tc>
      </w:tr>
      <w:tr w:rsidR="008A420B" w:rsidRPr="005C41E0" w14:paraId="22E2DD82" w14:textId="77777777" w:rsidTr="006B6131">
        <w:trPr>
          <w:jc w:val="center"/>
        </w:trPr>
        <w:tc>
          <w:tcPr>
            <w:tcW w:w="1274" w:type="pct"/>
            <w:vAlign w:val="center"/>
          </w:tcPr>
          <w:p w14:paraId="6F50D467"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Demas 1</w:t>
            </w:r>
          </w:p>
        </w:tc>
        <w:tc>
          <w:tcPr>
            <w:tcW w:w="1633" w:type="pct"/>
          </w:tcPr>
          <w:p w14:paraId="0AF15427"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0.72</w:t>
            </w:r>
          </w:p>
        </w:tc>
        <w:tc>
          <w:tcPr>
            <w:tcW w:w="2093" w:type="pct"/>
          </w:tcPr>
          <w:p w14:paraId="673622D3"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1.20</w:t>
            </w:r>
          </w:p>
        </w:tc>
      </w:tr>
      <w:tr w:rsidR="008A420B" w:rsidRPr="005C41E0" w14:paraId="0B4E84D0" w14:textId="77777777" w:rsidTr="006B6131">
        <w:trPr>
          <w:jc w:val="center"/>
        </w:trPr>
        <w:tc>
          <w:tcPr>
            <w:tcW w:w="1274" w:type="pct"/>
            <w:vAlign w:val="center"/>
          </w:tcPr>
          <w:p w14:paraId="74588A6E"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Dena 1</w:t>
            </w:r>
          </w:p>
        </w:tc>
        <w:tc>
          <w:tcPr>
            <w:tcW w:w="1633" w:type="pct"/>
          </w:tcPr>
          <w:p w14:paraId="03C3A5BC"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0.76</w:t>
            </w:r>
          </w:p>
        </w:tc>
        <w:tc>
          <w:tcPr>
            <w:tcW w:w="2093" w:type="pct"/>
          </w:tcPr>
          <w:p w14:paraId="03B9D5DF"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1.26</w:t>
            </w:r>
          </w:p>
        </w:tc>
      </w:tr>
      <w:tr w:rsidR="008A420B" w:rsidRPr="005C41E0" w14:paraId="2D7169F3" w14:textId="77777777" w:rsidTr="006B6131">
        <w:trPr>
          <w:jc w:val="center"/>
        </w:trPr>
        <w:tc>
          <w:tcPr>
            <w:tcW w:w="1274" w:type="pct"/>
            <w:vAlign w:val="center"/>
          </w:tcPr>
          <w:p w14:paraId="5E49C6E6"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Dena 2</w:t>
            </w:r>
          </w:p>
        </w:tc>
        <w:tc>
          <w:tcPr>
            <w:tcW w:w="1633" w:type="pct"/>
          </w:tcPr>
          <w:p w14:paraId="4F604D41"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0.58</w:t>
            </w:r>
          </w:p>
        </w:tc>
        <w:tc>
          <w:tcPr>
            <w:tcW w:w="2093" w:type="pct"/>
          </w:tcPr>
          <w:p w14:paraId="3C809F7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0.97</w:t>
            </w:r>
          </w:p>
        </w:tc>
      </w:tr>
      <w:tr w:rsidR="008A420B" w:rsidRPr="005C41E0" w14:paraId="7D3325AE" w14:textId="77777777" w:rsidTr="006B6131">
        <w:trPr>
          <w:jc w:val="center"/>
        </w:trPr>
        <w:tc>
          <w:tcPr>
            <w:tcW w:w="1274" w:type="pct"/>
            <w:vAlign w:val="center"/>
          </w:tcPr>
          <w:p w14:paraId="72FA5615" w14:textId="77777777" w:rsidR="008A420B" w:rsidRPr="005C41E0" w:rsidRDefault="008A420B" w:rsidP="00DF3A1A">
            <w:pPr>
              <w:jc w:val="both"/>
              <w:rPr>
                <w:rFonts w:ascii="Times New Roman" w:eastAsia="Merriweather" w:hAnsi="Times New Roman" w:cs="Times New Roman"/>
                <w:sz w:val="20"/>
                <w:szCs w:val="20"/>
              </w:rPr>
            </w:pPr>
            <w:r w:rsidRPr="005C41E0">
              <w:rPr>
                <w:rFonts w:ascii="Times New Roman" w:eastAsia="Times New Roman" w:hAnsi="Times New Roman" w:cs="Times New Roman"/>
                <w:color w:val="000000"/>
                <w:sz w:val="20"/>
                <w:szCs w:val="20"/>
              </w:rPr>
              <w:t>Derap 1</w:t>
            </w:r>
          </w:p>
        </w:tc>
        <w:tc>
          <w:tcPr>
            <w:tcW w:w="1633" w:type="pct"/>
          </w:tcPr>
          <w:p w14:paraId="08C5566C"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0.55</w:t>
            </w:r>
          </w:p>
        </w:tc>
        <w:tc>
          <w:tcPr>
            <w:tcW w:w="2093" w:type="pct"/>
          </w:tcPr>
          <w:p w14:paraId="15912B34"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0.92</w:t>
            </w:r>
          </w:p>
        </w:tc>
      </w:tr>
      <w:tr w:rsidR="008A420B" w:rsidRPr="005C41E0" w14:paraId="60A3E64A" w14:textId="77777777" w:rsidTr="006B6131">
        <w:trPr>
          <w:jc w:val="center"/>
        </w:trPr>
        <w:tc>
          <w:tcPr>
            <w:tcW w:w="1274" w:type="pct"/>
            <w:vAlign w:val="center"/>
          </w:tcPr>
          <w:p w14:paraId="2E398277"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Dering 1</w:t>
            </w:r>
          </w:p>
        </w:tc>
        <w:tc>
          <w:tcPr>
            <w:tcW w:w="1633" w:type="pct"/>
          </w:tcPr>
          <w:p w14:paraId="6F4EEB9D"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0.71</w:t>
            </w:r>
          </w:p>
        </w:tc>
        <w:tc>
          <w:tcPr>
            <w:tcW w:w="2093" w:type="pct"/>
          </w:tcPr>
          <w:p w14:paraId="41B1E4D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1.19</w:t>
            </w:r>
          </w:p>
        </w:tc>
      </w:tr>
      <w:tr w:rsidR="008A420B" w:rsidRPr="005C41E0" w14:paraId="6F01F041" w14:textId="77777777" w:rsidTr="006B6131">
        <w:trPr>
          <w:jc w:val="center"/>
        </w:trPr>
        <w:tc>
          <w:tcPr>
            <w:tcW w:w="1274" w:type="pct"/>
            <w:vAlign w:val="center"/>
          </w:tcPr>
          <w:p w14:paraId="0AC67FD9"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Detap 1</w:t>
            </w:r>
          </w:p>
        </w:tc>
        <w:tc>
          <w:tcPr>
            <w:tcW w:w="1633" w:type="pct"/>
          </w:tcPr>
          <w:p w14:paraId="7C236EF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0.74</w:t>
            </w:r>
          </w:p>
        </w:tc>
        <w:tc>
          <w:tcPr>
            <w:tcW w:w="2093" w:type="pct"/>
          </w:tcPr>
          <w:p w14:paraId="7663D57C"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1.24</w:t>
            </w:r>
          </w:p>
        </w:tc>
      </w:tr>
      <w:tr w:rsidR="008A420B" w:rsidRPr="005C41E0" w14:paraId="525185AC" w14:textId="77777777" w:rsidTr="006B6131">
        <w:trPr>
          <w:jc w:val="center"/>
        </w:trPr>
        <w:tc>
          <w:tcPr>
            <w:tcW w:w="1274" w:type="pct"/>
            <w:vAlign w:val="center"/>
          </w:tcPr>
          <w:p w14:paraId="386AD158"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Devon 1</w:t>
            </w:r>
          </w:p>
        </w:tc>
        <w:tc>
          <w:tcPr>
            <w:tcW w:w="1633" w:type="pct"/>
          </w:tcPr>
          <w:p w14:paraId="74EDEDD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0.71</w:t>
            </w:r>
          </w:p>
        </w:tc>
        <w:tc>
          <w:tcPr>
            <w:tcW w:w="2093" w:type="pct"/>
          </w:tcPr>
          <w:p w14:paraId="66C94463"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1.18</w:t>
            </w:r>
          </w:p>
        </w:tc>
      </w:tr>
      <w:tr w:rsidR="008A420B" w:rsidRPr="005C41E0" w14:paraId="78AAEEA9" w14:textId="77777777" w:rsidTr="006B6131">
        <w:trPr>
          <w:jc w:val="center"/>
        </w:trPr>
        <w:tc>
          <w:tcPr>
            <w:tcW w:w="1274" w:type="pct"/>
            <w:vAlign w:val="center"/>
          </w:tcPr>
          <w:p w14:paraId="1C81ED0E"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Devon 2</w:t>
            </w:r>
          </w:p>
        </w:tc>
        <w:tc>
          <w:tcPr>
            <w:tcW w:w="1633" w:type="pct"/>
          </w:tcPr>
          <w:p w14:paraId="3F6FF632"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0.69</w:t>
            </w:r>
          </w:p>
        </w:tc>
        <w:tc>
          <w:tcPr>
            <w:tcW w:w="2093" w:type="pct"/>
          </w:tcPr>
          <w:p w14:paraId="4544BA46"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1.15</w:t>
            </w:r>
          </w:p>
        </w:tc>
      </w:tr>
      <w:tr w:rsidR="008A420B" w:rsidRPr="005C41E0" w14:paraId="64A0E960" w14:textId="77777777" w:rsidTr="006B6131">
        <w:trPr>
          <w:jc w:val="center"/>
        </w:trPr>
        <w:tc>
          <w:tcPr>
            <w:tcW w:w="1274" w:type="pct"/>
            <w:vAlign w:val="center"/>
          </w:tcPr>
          <w:p w14:paraId="5092C46D"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Grobogan</w:t>
            </w:r>
          </w:p>
        </w:tc>
        <w:tc>
          <w:tcPr>
            <w:tcW w:w="1633" w:type="pct"/>
          </w:tcPr>
          <w:p w14:paraId="29866D54"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0.56</w:t>
            </w:r>
          </w:p>
        </w:tc>
        <w:tc>
          <w:tcPr>
            <w:tcW w:w="2093" w:type="pct"/>
          </w:tcPr>
          <w:p w14:paraId="251D004A"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0.94</w:t>
            </w:r>
          </w:p>
        </w:tc>
      </w:tr>
      <w:tr w:rsidR="008A420B" w:rsidRPr="005C41E0" w14:paraId="4AA0D292" w14:textId="77777777" w:rsidTr="006B6131">
        <w:trPr>
          <w:jc w:val="center"/>
        </w:trPr>
        <w:tc>
          <w:tcPr>
            <w:tcW w:w="1274" w:type="pct"/>
            <w:vAlign w:val="center"/>
          </w:tcPr>
          <w:p w14:paraId="0C26078E"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79</w:t>
            </w:r>
          </w:p>
        </w:tc>
        <w:tc>
          <w:tcPr>
            <w:tcW w:w="1633" w:type="pct"/>
          </w:tcPr>
          <w:p w14:paraId="29FC99D8"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0.26</w:t>
            </w:r>
          </w:p>
        </w:tc>
        <w:tc>
          <w:tcPr>
            <w:tcW w:w="2093" w:type="pct"/>
          </w:tcPr>
          <w:p w14:paraId="5AA6C357"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0.43</w:t>
            </w:r>
          </w:p>
        </w:tc>
      </w:tr>
      <w:tr w:rsidR="008A420B" w:rsidRPr="005C41E0" w14:paraId="461F4896" w14:textId="77777777" w:rsidTr="006B6131">
        <w:trPr>
          <w:jc w:val="center"/>
        </w:trPr>
        <w:tc>
          <w:tcPr>
            <w:tcW w:w="1274" w:type="pct"/>
            <w:vAlign w:val="center"/>
          </w:tcPr>
          <w:p w14:paraId="16BB0F72"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87</w:t>
            </w:r>
          </w:p>
        </w:tc>
        <w:tc>
          <w:tcPr>
            <w:tcW w:w="1633" w:type="pct"/>
          </w:tcPr>
          <w:p w14:paraId="214C4B2D"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0.58</w:t>
            </w:r>
          </w:p>
        </w:tc>
        <w:tc>
          <w:tcPr>
            <w:tcW w:w="2093" w:type="pct"/>
          </w:tcPr>
          <w:p w14:paraId="06ECD11F"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0.97</w:t>
            </w:r>
          </w:p>
        </w:tc>
      </w:tr>
      <w:tr w:rsidR="008A420B" w:rsidRPr="005C41E0" w14:paraId="3EEB4105" w14:textId="77777777" w:rsidTr="006B6131">
        <w:trPr>
          <w:jc w:val="center"/>
        </w:trPr>
        <w:tc>
          <w:tcPr>
            <w:tcW w:w="1274" w:type="pct"/>
            <w:vAlign w:val="center"/>
          </w:tcPr>
          <w:p w14:paraId="3930706B"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99</w:t>
            </w:r>
          </w:p>
        </w:tc>
        <w:tc>
          <w:tcPr>
            <w:tcW w:w="1633" w:type="pct"/>
          </w:tcPr>
          <w:p w14:paraId="12558F1E"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0.11</w:t>
            </w:r>
          </w:p>
        </w:tc>
        <w:tc>
          <w:tcPr>
            <w:tcW w:w="2093" w:type="pct"/>
          </w:tcPr>
          <w:p w14:paraId="776027FE"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0.18</w:t>
            </w:r>
          </w:p>
        </w:tc>
      </w:tr>
      <w:tr w:rsidR="008A420B" w:rsidRPr="005C41E0" w14:paraId="2D5884CF" w14:textId="77777777" w:rsidTr="006B6131">
        <w:trPr>
          <w:jc w:val="center"/>
        </w:trPr>
        <w:tc>
          <w:tcPr>
            <w:tcW w:w="1274" w:type="pct"/>
            <w:vAlign w:val="center"/>
          </w:tcPr>
          <w:p w14:paraId="622A3F7F" w14:textId="77777777" w:rsidR="008A420B" w:rsidRPr="005C41E0" w:rsidRDefault="008A420B" w:rsidP="00DF3A1A">
            <w:pPr>
              <w:jc w:val="both"/>
              <w:rPr>
                <w:rFonts w:ascii="Times New Roman" w:eastAsia="Times New Roman" w:hAnsi="Times New Roman" w:cs="Times New Roman"/>
                <w:color w:val="000000"/>
                <w:sz w:val="20"/>
                <w:szCs w:val="20"/>
              </w:rPr>
            </w:pPr>
            <w:r w:rsidRPr="005C41E0">
              <w:rPr>
                <w:rFonts w:ascii="Times New Roman" w:eastAsia="Times New Roman" w:hAnsi="Times New Roman" w:cs="Times New Roman"/>
                <w:color w:val="000000"/>
                <w:sz w:val="20"/>
                <w:szCs w:val="20"/>
              </w:rPr>
              <w:t>BS 114</w:t>
            </w:r>
          </w:p>
        </w:tc>
        <w:tc>
          <w:tcPr>
            <w:tcW w:w="1633" w:type="pct"/>
          </w:tcPr>
          <w:p w14:paraId="09D2CD72"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0.52</w:t>
            </w:r>
          </w:p>
        </w:tc>
        <w:tc>
          <w:tcPr>
            <w:tcW w:w="2093" w:type="pct"/>
          </w:tcPr>
          <w:p w14:paraId="77204DE0" w14:textId="77777777" w:rsidR="008A420B" w:rsidRPr="005C41E0" w:rsidRDefault="008A420B" w:rsidP="00DF3A1A">
            <w:pPr>
              <w:jc w:val="center"/>
              <w:rPr>
                <w:rFonts w:ascii="Times New Roman" w:eastAsia="Merriweather" w:hAnsi="Times New Roman" w:cs="Times New Roman"/>
                <w:sz w:val="20"/>
                <w:szCs w:val="20"/>
              </w:rPr>
            </w:pPr>
            <w:r w:rsidRPr="005C41E0">
              <w:rPr>
                <w:rFonts w:ascii="Times New Roman" w:hAnsi="Times New Roman" w:cs="Times New Roman"/>
                <w:color w:val="000000"/>
                <w:sz w:val="20"/>
                <w:szCs w:val="20"/>
              </w:rPr>
              <w:t>0.87</w:t>
            </w:r>
          </w:p>
        </w:tc>
      </w:tr>
    </w:tbl>
    <w:p w14:paraId="1821FDDA" w14:textId="77777777" w:rsidR="008A420B" w:rsidRPr="000E67DC" w:rsidRDefault="008A420B" w:rsidP="008A420B">
      <w:pPr>
        <w:spacing w:after="0" w:line="240" w:lineRule="auto"/>
        <w:jc w:val="both"/>
        <w:rPr>
          <w:rFonts w:ascii="Times New Roman" w:eastAsia="Book Antiqua" w:hAnsi="Times New Roman" w:cs="Times New Roman"/>
        </w:rPr>
      </w:pPr>
    </w:p>
    <w:p w14:paraId="3ABE3D13" w14:textId="0E4FE3BC" w:rsidR="00D83748" w:rsidRPr="000E67DC" w:rsidRDefault="000E67DC" w:rsidP="002F61F2">
      <w:pPr>
        <w:spacing w:after="0" w:line="240" w:lineRule="auto"/>
        <w:jc w:val="both"/>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t>CONCLUSION</w:t>
      </w:r>
    </w:p>
    <w:p w14:paraId="6A145BC1" w14:textId="58951560" w:rsidR="002F61F2" w:rsidRPr="000E67DC" w:rsidRDefault="00966436" w:rsidP="00A64214">
      <w:pPr>
        <w:spacing w:after="0" w:line="240" w:lineRule="auto"/>
        <w:ind w:firstLine="340"/>
        <w:jc w:val="both"/>
        <w:rPr>
          <w:rFonts w:ascii="Times New Roman" w:eastAsia="Book Antiqua" w:hAnsi="Times New Roman" w:cs="Times New Roman"/>
          <w:b/>
        </w:rPr>
      </w:pPr>
      <w:r w:rsidRPr="000E67DC">
        <w:rPr>
          <w:rFonts w:ascii="Times New Roman" w:eastAsia="Book Antiqua" w:hAnsi="Times New Roman" w:cs="Times New Roman"/>
        </w:rPr>
        <w:t xml:space="preserve"> </w:t>
      </w:r>
      <w:r w:rsidR="00060CA7" w:rsidRPr="000E67DC">
        <w:rPr>
          <w:rFonts w:ascii="Times New Roman" w:eastAsia="Book Antiqua" w:hAnsi="Times New Roman" w:cs="Times New Roman"/>
        </w:rPr>
        <w:t>The study on Indonesian soybean varieties grown in wetland during the dry season reveals significant variability in yield potential among 20 genotypes tested. The Deja 1 demonstrated the highest yield potential at 1.75 tons</w:t>
      </w:r>
      <w:r w:rsidR="0010098B" w:rsidRPr="000E67DC">
        <w:rPr>
          <w:rFonts w:ascii="Times New Roman" w:eastAsia="Book Antiqua" w:hAnsi="Times New Roman" w:cs="Times New Roman"/>
        </w:rPr>
        <w:t xml:space="preserve"> </w:t>
      </w:r>
      <w:r w:rsidR="0010098B" w:rsidRPr="000E67DC">
        <w:rPr>
          <w:rFonts w:ascii="Times New Roman" w:eastAsia="Merriweather" w:hAnsi="Times New Roman" w:cs="Times New Roman"/>
        </w:rPr>
        <w:t>ha</w:t>
      </w:r>
      <w:r w:rsidR="0010098B" w:rsidRPr="000E67DC">
        <w:rPr>
          <w:rFonts w:ascii="Times New Roman" w:eastAsia="Merriweather" w:hAnsi="Times New Roman" w:cs="Times New Roman"/>
          <w:vertAlign w:val="superscript"/>
        </w:rPr>
        <w:t>-1</w:t>
      </w:r>
      <w:r w:rsidR="0010098B" w:rsidRPr="000E67DC">
        <w:rPr>
          <w:rFonts w:ascii="Times New Roman" w:eastAsia="Book Antiqua" w:hAnsi="Times New Roman" w:cs="Times New Roman"/>
        </w:rPr>
        <w:t xml:space="preserve">. </w:t>
      </w:r>
      <w:r w:rsidR="00060CA7" w:rsidRPr="000E67DC">
        <w:rPr>
          <w:rFonts w:ascii="Times New Roman" w:eastAsia="Book Antiqua" w:hAnsi="Times New Roman" w:cs="Times New Roman"/>
        </w:rPr>
        <w:t>Th</w:t>
      </w:r>
      <w:r w:rsidR="003C2DDD">
        <w:rPr>
          <w:rFonts w:ascii="Times New Roman" w:eastAsia="Book Antiqua" w:hAnsi="Times New Roman" w:cs="Times New Roman"/>
        </w:rPr>
        <w:t>is</w:t>
      </w:r>
      <w:r w:rsidR="00060CA7" w:rsidRPr="000E67DC">
        <w:rPr>
          <w:rFonts w:ascii="Times New Roman" w:eastAsia="Book Antiqua" w:hAnsi="Times New Roman" w:cs="Times New Roman"/>
        </w:rPr>
        <w:t xml:space="preserve"> genotype exhibited adaptability in water-limited conditions. </w:t>
      </w:r>
      <w:r w:rsidR="00CC66AB" w:rsidRPr="000E67DC">
        <w:rPr>
          <w:rFonts w:ascii="Times New Roman" w:eastAsia="Book Antiqua" w:hAnsi="Times New Roman" w:cs="Times New Roman"/>
        </w:rPr>
        <w:t>The heritability estimates (h²) indicate Weight of 100 Seeds (W100) and Number of Seeds per Plant (NSP) have high heritability values (0.95 and 0.91), suggesting a strong genetic influence.</w:t>
      </w:r>
      <w:r w:rsidR="005E6F50" w:rsidRPr="000E67DC">
        <w:rPr>
          <w:rFonts w:ascii="Times New Roman" w:eastAsia="Book Antiqua" w:hAnsi="Times New Roman" w:cs="Times New Roman"/>
        </w:rPr>
        <w:t xml:space="preserve"> The traits that have a positive correlation with Yield based on the Pearson’s correlation network plot are Plant Height (PH), Weight of Biomass (WB), and Weight of Seed per Plot (WSP).</w:t>
      </w:r>
      <w:r w:rsidR="00CC66AB" w:rsidRPr="000E67DC">
        <w:rPr>
          <w:rFonts w:ascii="Times New Roman" w:eastAsia="Book Antiqua" w:hAnsi="Times New Roman" w:cs="Times New Roman"/>
        </w:rPr>
        <w:t xml:space="preserve"> </w:t>
      </w:r>
      <w:r w:rsidR="00060CA7" w:rsidRPr="000E67DC">
        <w:rPr>
          <w:rFonts w:ascii="Times New Roman" w:eastAsia="Book Antiqua" w:hAnsi="Times New Roman" w:cs="Times New Roman"/>
        </w:rPr>
        <w:t xml:space="preserve">This </w:t>
      </w:r>
      <w:r w:rsidR="00785E3A" w:rsidRPr="000E67DC">
        <w:rPr>
          <w:rFonts w:ascii="Times New Roman" w:eastAsia="Book Antiqua" w:hAnsi="Times New Roman" w:cs="Times New Roman"/>
        </w:rPr>
        <w:t xml:space="preserve">study </w:t>
      </w:r>
      <w:r w:rsidR="00060CA7" w:rsidRPr="000E67DC">
        <w:rPr>
          <w:rFonts w:ascii="Times New Roman" w:eastAsia="Book Antiqua" w:hAnsi="Times New Roman" w:cs="Times New Roman"/>
        </w:rPr>
        <w:t>highlights the importance of selecting genotypes that are tolerant to water stress to improve soybean productivity in wetlands during the dry season. This research provides an important contribution to soybean breeding programs aimed at enhancing drought tolerance and achieving optimal yields in Indonesia.</w:t>
      </w:r>
    </w:p>
    <w:p w14:paraId="002962CC" w14:textId="77777777" w:rsidR="007E3AF8" w:rsidRPr="000E67DC" w:rsidRDefault="007E3AF8" w:rsidP="002F61F2">
      <w:pPr>
        <w:spacing w:after="0" w:line="240" w:lineRule="auto"/>
        <w:jc w:val="both"/>
        <w:rPr>
          <w:rFonts w:ascii="Times New Roman" w:eastAsia="Book Antiqua" w:hAnsi="Times New Roman" w:cs="Times New Roman"/>
          <w:b/>
        </w:rPr>
      </w:pPr>
    </w:p>
    <w:p w14:paraId="6FBF4BFC" w14:textId="1F697038" w:rsidR="0090018E" w:rsidRPr="008E0D1C" w:rsidRDefault="000E67DC" w:rsidP="008E0D1C">
      <w:pPr>
        <w:spacing w:after="0" w:line="240" w:lineRule="auto"/>
        <w:jc w:val="both"/>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t>ACKNOWLEDGMENTS</w:t>
      </w:r>
    </w:p>
    <w:p w14:paraId="18D305C0" w14:textId="47C03DE3" w:rsidR="0090018E" w:rsidRPr="000E67DC" w:rsidRDefault="000C7A86" w:rsidP="002F61F2">
      <w:pPr>
        <w:spacing w:after="0" w:line="240" w:lineRule="auto"/>
        <w:ind w:firstLine="340"/>
        <w:jc w:val="both"/>
        <w:rPr>
          <w:rFonts w:ascii="Times New Roman" w:eastAsia="Book Antiqua" w:hAnsi="Times New Roman" w:cs="Times New Roman"/>
          <w:b/>
        </w:rPr>
      </w:pPr>
      <w:r w:rsidRPr="000E67DC">
        <w:rPr>
          <w:rFonts w:ascii="Times New Roman" w:hAnsi="Times New Roman" w:cs="Times New Roman"/>
        </w:rPr>
        <w:t>This work was financially supported by the “</w:t>
      </w:r>
      <w:r w:rsidR="00136E73" w:rsidRPr="000E67DC">
        <w:rPr>
          <w:rFonts w:ascii="Times New Roman" w:hAnsi="Times New Roman" w:cs="Times New Roman"/>
        </w:rPr>
        <w:t>Program Penelitian Pendidikan Magister menuju Doktor untuk Sarjana Unggul (PMDSU)</w:t>
      </w:r>
      <w:r w:rsidRPr="000E67DC">
        <w:rPr>
          <w:rFonts w:ascii="Times New Roman" w:hAnsi="Times New Roman" w:cs="Times New Roman"/>
        </w:rPr>
        <w:t>” (</w:t>
      </w:r>
      <w:r w:rsidR="00777842" w:rsidRPr="000E67DC">
        <w:rPr>
          <w:rFonts w:ascii="Times New Roman" w:hAnsi="Times New Roman" w:cs="Times New Roman"/>
        </w:rPr>
        <w:t>014/E5/PG.02.00/PL.PMDSU/2024</w:t>
      </w:r>
      <w:r w:rsidRPr="000E67DC">
        <w:rPr>
          <w:rFonts w:ascii="Times New Roman" w:hAnsi="Times New Roman" w:cs="Times New Roman"/>
        </w:rPr>
        <w:t>)</w:t>
      </w:r>
      <w:r w:rsidR="00136E73" w:rsidRPr="000E67DC">
        <w:rPr>
          <w:rFonts w:ascii="Times New Roman" w:hAnsi="Times New Roman" w:cs="Times New Roman"/>
        </w:rPr>
        <w:t xml:space="preserve"> Directorate of Research, Technology, and Community Service</w:t>
      </w:r>
      <w:r w:rsidRPr="000E67DC">
        <w:rPr>
          <w:rFonts w:ascii="Times New Roman" w:hAnsi="Times New Roman" w:cs="Times New Roman"/>
        </w:rPr>
        <w:t>, Republic of Indonesia.</w:t>
      </w:r>
      <w:r w:rsidRPr="000E67DC">
        <w:rPr>
          <w:rFonts w:ascii="Times New Roman" w:hAnsi="Times New Roman" w:cs="Times New Roman"/>
          <w:sz w:val="28"/>
          <w:szCs w:val="28"/>
        </w:rPr>
        <w:t xml:space="preserve"> </w:t>
      </w:r>
    </w:p>
    <w:p w14:paraId="24CCE11F" w14:textId="02B59113" w:rsidR="0090018E" w:rsidRPr="000E67DC" w:rsidRDefault="000E67DC" w:rsidP="002F61F2">
      <w:pPr>
        <w:spacing w:after="0" w:line="240" w:lineRule="auto"/>
        <w:jc w:val="both"/>
        <w:rPr>
          <w:rFonts w:ascii="Times New Roman" w:eastAsia="Book Antiqua" w:hAnsi="Times New Roman" w:cs="Times New Roman"/>
          <w:b/>
          <w:sz w:val="24"/>
          <w:szCs w:val="24"/>
        </w:rPr>
      </w:pPr>
      <w:r w:rsidRPr="000E67DC">
        <w:rPr>
          <w:rFonts w:ascii="Times New Roman" w:eastAsia="Book Antiqua" w:hAnsi="Times New Roman" w:cs="Times New Roman"/>
          <w:b/>
          <w:sz w:val="24"/>
          <w:szCs w:val="24"/>
        </w:rPr>
        <w:lastRenderedPageBreak/>
        <w:t>REFERENCES</w:t>
      </w:r>
    </w:p>
    <w:p w14:paraId="04A79F46" w14:textId="1D620BBA" w:rsidR="00135DF9" w:rsidRPr="00135DF9" w:rsidRDefault="005061E1"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eastAsia="Book Antiqua" w:hAnsi="Times New Roman" w:cs="Times New Roman"/>
        </w:rPr>
        <w:fldChar w:fldCharType="begin" w:fldLock="1"/>
      </w:r>
      <w:r w:rsidRPr="00135DF9">
        <w:rPr>
          <w:rFonts w:ascii="Times New Roman" w:eastAsia="Book Antiqua" w:hAnsi="Times New Roman" w:cs="Times New Roman"/>
        </w:rPr>
        <w:instrText xml:space="preserve">ADDIN Mendeley Bibliography CSL_BIBLIOGRAPHY </w:instrText>
      </w:r>
      <w:r w:rsidRPr="00135DF9">
        <w:rPr>
          <w:rFonts w:ascii="Times New Roman" w:eastAsia="Book Antiqua" w:hAnsi="Times New Roman" w:cs="Times New Roman"/>
        </w:rPr>
        <w:fldChar w:fldCharType="separate"/>
      </w:r>
      <w:r w:rsidR="00135DF9" w:rsidRPr="00135DF9">
        <w:rPr>
          <w:rFonts w:ascii="Times New Roman" w:hAnsi="Times New Roman" w:cs="Times New Roman"/>
          <w:noProof/>
        </w:rPr>
        <w:t xml:space="preserve">Adie, M. M., Baliadi, Y., Yusnawan, E., Wijanarko, A. </w:t>
      </w:r>
      <w:r w:rsidR="00E76417">
        <w:rPr>
          <w:rFonts w:ascii="Times New Roman" w:hAnsi="Times New Roman" w:cs="Times New Roman"/>
          <w:noProof/>
        </w:rPr>
        <w:t>and</w:t>
      </w:r>
      <w:r w:rsidR="00135DF9" w:rsidRPr="00135DF9">
        <w:rPr>
          <w:rFonts w:ascii="Times New Roman" w:hAnsi="Times New Roman" w:cs="Times New Roman"/>
          <w:noProof/>
        </w:rPr>
        <w:t xml:space="preserve"> Krisnawati, A. (2022). </w:t>
      </w:r>
      <w:r w:rsidR="00135DF9" w:rsidRPr="00EA301C">
        <w:rPr>
          <w:rFonts w:ascii="Times New Roman" w:hAnsi="Times New Roman" w:cs="Times New Roman"/>
          <w:noProof/>
        </w:rPr>
        <w:t>Performance of Soybean Genotypes in the Acidic Dryland and Wetland.</w:t>
      </w:r>
      <w:r w:rsidR="00135DF9" w:rsidRPr="00135DF9">
        <w:rPr>
          <w:rFonts w:ascii="Times New Roman" w:hAnsi="Times New Roman" w:cs="Times New Roman"/>
          <w:i/>
          <w:iCs/>
          <w:noProof/>
        </w:rPr>
        <w:t xml:space="preserve"> </w:t>
      </w:r>
      <w:r w:rsidR="00135DF9" w:rsidRPr="00EA301C">
        <w:rPr>
          <w:rFonts w:ascii="Times New Roman" w:hAnsi="Times New Roman" w:cs="Times New Roman"/>
          <w:i/>
          <w:iCs/>
          <w:noProof/>
        </w:rPr>
        <w:t>International Journal on Advanced Science, Engineering and Information Technology</w:t>
      </w:r>
      <w:r w:rsidR="00135DF9" w:rsidRPr="00135DF9">
        <w:rPr>
          <w:rFonts w:ascii="Times New Roman" w:hAnsi="Times New Roman" w:cs="Times New Roman"/>
          <w:noProof/>
        </w:rPr>
        <w:t xml:space="preserve">, 12(5), 1812–1817. </w:t>
      </w:r>
    </w:p>
    <w:p w14:paraId="2D95E466" w14:textId="7F820AE8"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Ahakpaz, F., Abdi, H., Neyestani, E., Hesami, A., Mohammadi, B., Mahmoudi, K. N., Abedi-Asl, G., Noshabadi, M. R. J., Ahakpaz, F. </w:t>
      </w:r>
      <w:r w:rsidR="00E76417">
        <w:rPr>
          <w:rFonts w:ascii="Times New Roman" w:hAnsi="Times New Roman" w:cs="Times New Roman"/>
          <w:noProof/>
        </w:rPr>
        <w:t>and</w:t>
      </w:r>
      <w:r w:rsidRPr="00135DF9">
        <w:rPr>
          <w:rFonts w:ascii="Times New Roman" w:hAnsi="Times New Roman" w:cs="Times New Roman"/>
          <w:noProof/>
        </w:rPr>
        <w:t xml:space="preserve"> Alipour, H. (2021). </w:t>
      </w:r>
      <w:r w:rsidRPr="00EA301C">
        <w:rPr>
          <w:rFonts w:ascii="Times New Roman" w:hAnsi="Times New Roman" w:cs="Times New Roman"/>
          <w:noProof/>
        </w:rPr>
        <w:t xml:space="preserve">Genotype-by-environment interaction analysis for grain yield of barley genotypes under dryland conditions and the role of monthly rainfall. </w:t>
      </w:r>
      <w:r w:rsidRPr="00EA301C">
        <w:rPr>
          <w:rFonts w:ascii="Times New Roman" w:hAnsi="Times New Roman" w:cs="Times New Roman"/>
          <w:i/>
          <w:iCs/>
          <w:noProof/>
        </w:rPr>
        <w:t>Agricultural Water Management</w:t>
      </w:r>
      <w:r w:rsidRPr="00135DF9">
        <w:rPr>
          <w:rFonts w:ascii="Times New Roman" w:hAnsi="Times New Roman" w:cs="Times New Roman"/>
          <w:noProof/>
        </w:rPr>
        <w:t xml:space="preserve">, 245(October 2020), 106665. </w:t>
      </w:r>
    </w:p>
    <w:p w14:paraId="6A67D7B9" w14:textId="23F9D83B"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Aldri Vauzia Ardiansyah, </w:t>
      </w:r>
      <w:r w:rsidR="00E76417">
        <w:rPr>
          <w:rFonts w:ascii="Times New Roman" w:hAnsi="Times New Roman" w:cs="Times New Roman"/>
          <w:noProof/>
        </w:rPr>
        <w:t>and</w:t>
      </w:r>
      <w:r w:rsidRPr="00135DF9">
        <w:rPr>
          <w:rFonts w:ascii="Times New Roman" w:hAnsi="Times New Roman" w:cs="Times New Roman"/>
          <w:noProof/>
        </w:rPr>
        <w:t xml:space="preserve"> Sitti Retno Faridatussalam. (2023). </w:t>
      </w:r>
      <w:r w:rsidRPr="00D31C4D">
        <w:rPr>
          <w:rFonts w:ascii="Times New Roman" w:hAnsi="Times New Roman" w:cs="Times New Roman"/>
          <w:noProof/>
        </w:rPr>
        <w:t xml:space="preserve">Analisis Pengaruh Harga Kedelai Lokal, Produksi Kedelai Lokal, Kurs, Dan Konsumsi Kedelai Dalam Negeri Terhadap Tingginya Impor Kedelai Di Indonesia Tahun 1997-2021. </w:t>
      </w:r>
      <w:r w:rsidRPr="00D31C4D">
        <w:rPr>
          <w:rFonts w:ascii="Times New Roman" w:hAnsi="Times New Roman" w:cs="Times New Roman"/>
          <w:i/>
          <w:iCs/>
          <w:noProof/>
        </w:rPr>
        <w:t>JEMSI (Jurnal Ekonomi, Manajemen, Dan Akuntansi)</w:t>
      </w:r>
      <w:r w:rsidRPr="00135DF9">
        <w:rPr>
          <w:rFonts w:ascii="Times New Roman" w:hAnsi="Times New Roman" w:cs="Times New Roman"/>
          <w:noProof/>
        </w:rPr>
        <w:t xml:space="preserve">, 9(4), 1354–1358. </w:t>
      </w:r>
    </w:p>
    <w:p w14:paraId="2CCBB6AA" w14:textId="42E91A10"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Ambrósio, M., Daher, R. F., Santos, R. M., Santana, J. G. S., Vidal, A. K. F., Nascimento, M. R., Leite, C. L., de Souza, A. G., Freitas, R. S., Stida, W. F., Farias, J. E. C., de Souza Filho, B. F., Melo, L. C. </w:t>
      </w:r>
      <w:r w:rsidR="00E76417">
        <w:rPr>
          <w:rFonts w:ascii="Times New Roman" w:hAnsi="Times New Roman" w:cs="Times New Roman"/>
          <w:noProof/>
        </w:rPr>
        <w:t>and</w:t>
      </w:r>
      <w:r w:rsidRPr="00135DF9">
        <w:rPr>
          <w:rFonts w:ascii="Times New Roman" w:hAnsi="Times New Roman" w:cs="Times New Roman"/>
          <w:noProof/>
        </w:rPr>
        <w:t xml:space="preserve"> dos Santos, P. R. (2024). </w:t>
      </w:r>
      <w:r w:rsidRPr="00D31C4D">
        <w:rPr>
          <w:rFonts w:ascii="Times New Roman" w:hAnsi="Times New Roman" w:cs="Times New Roman"/>
          <w:noProof/>
        </w:rPr>
        <w:t>Multi-trait index: selection and recommendation of superior black bean genotypes as new improved varieties.</w:t>
      </w:r>
      <w:r w:rsidRPr="00135DF9">
        <w:rPr>
          <w:rFonts w:ascii="Times New Roman" w:hAnsi="Times New Roman" w:cs="Times New Roman"/>
          <w:noProof/>
        </w:rPr>
        <w:t xml:space="preserve"> </w:t>
      </w:r>
      <w:r w:rsidRPr="00D31C4D">
        <w:rPr>
          <w:rFonts w:ascii="Times New Roman" w:hAnsi="Times New Roman" w:cs="Times New Roman"/>
          <w:i/>
          <w:iCs/>
          <w:noProof/>
        </w:rPr>
        <w:t>BMC Plant Biology</w:t>
      </w:r>
      <w:r w:rsidRPr="00135DF9">
        <w:rPr>
          <w:rFonts w:ascii="Times New Roman" w:hAnsi="Times New Roman" w:cs="Times New Roman"/>
          <w:noProof/>
        </w:rPr>
        <w:t xml:space="preserve">, 24(1), 1–12. </w:t>
      </w:r>
    </w:p>
    <w:p w14:paraId="1E2B6529" w14:textId="1B861B4A"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Bates, D., Maechler, M., Bolker, B., Walker, S., Christensen, R. H. B., Singmann, H., Dai, B., Scheipl, F., Grothendieck, G., Green, P., Fox, J., Bauer, A., Krivitsky, P. N., Tanaka, E. </w:t>
      </w:r>
      <w:r w:rsidR="00D31C4D">
        <w:rPr>
          <w:rFonts w:ascii="Times New Roman" w:hAnsi="Times New Roman" w:cs="Times New Roman"/>
          <w:noProof/>
        </w:rPr>
        <w:t>and</w:t>
      </w:r>
      <w:r w:rsidRPr="00135DF9">
        <w:rPr>
          <w:rFonts w:ascii="Times New Roman" w:hAnsi="Times New Roman" w:cs="Times New Roman"/>
          <w:noProof/>
        </w:rPr>
        <w:t xml:space="preserve"> Jagan, M. (2024). </w:t>
      </w:r>
      <w:r w:rsidRPr="00135DF9">
        <w:rPr>
          <w:rFonts w:ascii="Times New Roman" w:hAnsi="Times New Roman" w:cs="Times New Roman"/>
          <w:i/>
          <w:iCs/>
          <w:noProof/>
        </w:rPr>
        <w:t>Linear Mixed-Effects Models using “Eigen” and S4.</w:t>
      </w:r>
      <w:r w:rsidRPr="00135DF9">
        <w:rPr>
          <w:rFonts w:ascii="Times New Roman" w:hAnsi="Times New Roman" w:cs="Times New Roman"/>
          <w:noProof/>
        </w:rPr>
        <w:t xml:space="preserve"> In The R Project for Statistical Computing (1.1-35.5; pp. 50–51). CRAN. </w:t>
      </w:r>
    </w:p>
    <w:p w14:paraId="01D4A1BA" w14:textId="02D1A859"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Du, Y., Zhao, Q., Chen, L., Yao, X. </w:t>
      </w:r>
      <w:r w:rsidR="00D31C4D">
        <w:rPr>
          <w:rFonts w:ascii="Times New Roman" w:hAnsi="Times New Roman" w:cs="Times New Roman"/>
          <w:noProof/>
        </w:rPr>
        <w:t>and</w:t>
      </w:r>
      <w:r w:rsidRPr="00135DF9">
        <w:rPr>
          <w:rFonts w:ascii="Times New Roman" w:hAnsi="Times New Roman" w:cs="Times New Roman"/>
          <w:noProof/>
        </w:rPr>
        <w:t xml:space="preserve"> Xie, F. (2020). </w:t>
      </w:r>
      <w:r w:rsidRPr="00D31C4D">
        <w:rPr>
          <w:rFonts w:ascii="Times New Roman" w:hAnsi="Times New Roman" w:cs="Times New Roman"/>
          <w:noProof/>
        </w:rPr>
        <w:t>Effect of drought stress at reproductive stages on growth and nitrogen metabolism in soybean.</w:t>
      </w:r>
      <w:r w:rsidRPr="00135DF9">
        <w:rPr>
          <w:rFonts w:ascii="Times New Roman" w:hAnsi="Times New Roman" w:cs="Times New Roman"/>
          <w:noProof/>
        </w:rPr>
        <w:t xml:space="preserve"> </w:t>
      </w:r>
      <w:r w:rsidRPr="00D31C4D">
        <w:rPr>
          <w:rFonts w:ascii="Times New Roman" w:hAnsi="Times New Roman" w:cs="Times New Roman"/>
          <w:i/>
          <w:iCs/>
          <w:noProof/>
        </w:rPr>
        <w:t>Agronomy</w:t>
      </w:r>
      <w:r w:rsidRPr="00135DF9">
        <w:rPr>
          <w:rFonts w:ascii="Times New Roman" w:hAnsi="Times New Roman" w:cs="Times New Roman"/>
          <w:noProof/>
        </w:rPr>
        <w:t xml:space="preserve">, 10(2). </w:t>
      </w:r>
    </w:p>
    <w:p w14:paraId="554D0927" w14:textId="29459C3F"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Du, Y., Zhao, Q., Chen, L., Yao, X., Zhang, H., Wu, J. </w:t>
      </w:r>
      <w:r w:rsidR="00D31C4D">
        <w:rPr>
          <w:rFonts w:ascii="Times New Roman" w:hAnsi="Times New Roman" w:cs="Times New Roman"/>
          <w:noProof/>
        </w:rPr>
        <w:t>and</w:t>
      </w:r>
      <w:r w:rsidRPr="00135DF9">
        <w:rPr>
          <w:rFonts w:ascii="Times New Roman" w:hAnsi="Times New Roman" w:cs="Times New Roman"/>
          <w:noProof/>
        </w:rPr>
        <w:t xml:space="preserve"> Xie, F. (2020). </w:t>
      </w:r>
      <w:r w:rsidRPr="00D31C4D">
        <w:rPr>
          <w:rFonts w:ascii="Times New Roman" w:hAnsi="Times New Roman" w:cs="Times New Roman"/>
          <w:noProof/>
        </w:rPr>
        <w:t xml:space="preserve">Effect of drought stress during soybean r2–r6 growth stages on sucrose metabolism in leaf and seed. </w:t>
      </w:r>
      <w:r w:rsidRPr="00D31C4D">
        <w:rPr>
          <w:rFonts w:ascii="Times New Roman" w:hAnsi="Times New Roman" w:cs="Times New Roman"/>
          <w:i/>
          <w:iCs/>
          <w:noProof/>
        </w:rPr>
        <w:t>International Journal of Molecular Sciences</w:t>
      </w:r>
      <w:r w:rsidRPr="00135DF9">
        <w:rPr>
          <w:rFonts w:ascii="Times New Roman" w:hAnsi="Times New Roman" w:cs="Times New Roman"/>
          <w:noProof/>
        </w:rPr>
        <w:t xml:space="preserve">, 21(2), 1–19. </w:t>
      </w:r>
    </w:p>
    <w:p w14:paraId="0764F9EF" w14:textId="33267590"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Egli, D. B. (2017). </w:t>
      </w:r>
      <w:r w:rsidRPr="000153A7">
        <w:rPr>
          <w:rFonts w:ascii="Times New Roman" w:hAnsi="Times New Roman" w:cs="Times New Roman"/>
          <w:i/>
          <w:iCs/>
          <w:noProof/>
        </w:rPr>
        <w:t>Seed biology and yield of grain crops</w:t>
      </w:r>
      <w:r w:rsidRPr="00135DF9">
        <w:rPr>
          <w:rFonts w:ascii="Times New Roman" w:hAnsi="Times New Roman" w:cs="Times New Roman"/>
          <w:noProof/>
        </w:rPr>
        <w:t>.</w:t>
      </w:r>
      <w:r w:rsidR="00D31C4D">
        <w:rPr>
          <w:rFonts w:ascii="Times New Roman" w:hAnsi="Times New Roman" w:cs="Times New Roman"/>
          <w:noProof/>
        </w:rPr>
        <w:t xml:space="preserve"> </w:t>
      </w:r>
      <w:r w:rsidRPr="00135DF9">
        <w:rPr>
          <w:rFonts w:ascii="Times New Roman" w:hAnsi="Times New Roman" w:cs="Times New Roman"/>
          <w:noProof/>
        </w:rPr>
        <w:t>https://doi.org/10.1079/9781780647708.0000</w:t>
      </w:r>
    </w:p>
    <w:p w14:paraId="47D50B5C" w14:textId="7AF564BC"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Elmerich, C., Boulch, G., Faucon, M. P., Lakhal, L.</w:t>
      </w:r>
      <w:r w:rsidR="00D31C4D">
        <w:rPr>
          <w:rFonts w:ascii="Times New Roman" w:hAnsi="Times New Roman" w:cs="Times New Roman"/>
          <w:noProof/>
        </w:rPr>
        <w:t xml:space="preserve"> and</w:t>
      </w:r>
      <w:r w:rsidRPr="00135DF9">
        <w:rPr>
          <w:rFonts w:ascii="Times New Roman" w:hAnsi="Times New Roman" w:cs="Times New Roman"/>
          <w:noProof/>
        </w:rPr>
        <w:t xml:space="preserve"> Lange, B. (2023). </w:t>
      </w:r>
      <w:r w:rsidRPr="00D31C4D">
        <w:rPr>
          <w:rFonts w:ascii="Times New Roman" w:hAnsi="Times New Roman" w:cs="Times New Roman"/>
          <w:noProof/>
        </w:rPr>
        <w:t>Identification of Eco-Climatic Factors Driving Yields and Genotype by Environment Interactions for Yield in Early Maturity Soybean Using Crop Simulation.</w:t>
      </w:r>
      <w:r w:rsidRPr="000153A7">
        <w:rPr>
          <w:rFonts w:ascii="Times New Roman" w:hAnsi="Times New Roman" w:cs="Times New Roman"/>
          <w:i/>
          <w:iCs/>
          <w:noProof/>
        </w:rPr>
        <w:t xml:space="preserve"> </w:t>
      </w:r>
      <w:r w:rsidRPr="00D31C4D">
        <w:rPr>
          <w:rFonts w:ascii="Times New Roman" w:hAnsi="Times New Roman" w:cs="Times New Roman"/>
          <w:i/>
          <w:iCs/>
          <w:noProof/>
        </w:rPr>
        <w:t>Agronomy</w:t>
      </w:r>
      <w:r w:rsidRPr="00135DF9">
        <w:rPr>
          <w:rFonts w:ascii="Times New Roman" w:hAnsi="Times New Roman" w:cs="Times New Roman"/>
          <w:noProof/>
        </w:rPr>
        <w:t xml:space="preserve">, 13(2). </w:t>
      </w:r>
    </w:p>
    <w:p w14:paraId="5321917A" w14:textId="4C0E412D"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Gerrano, A. S., Jansen van Rensburg, W. S., Mathew, I., Shayanowako, A. I. T., Bairu, M. W., Venter, S. L., Swart, W., Mofokeng, A., Mellem, J. </w:t>
      </w:r>
      <w:r w:rsidR="00D31C4D">
        <w:rPr>
          <w:rFonts w:ascii="Times New Roman" w:hAnsi="Times New Roman" w:cs="Times New Roman"/>
          <w:noProof/>
        </w:rPr>
        <w:t>and</w:t>
      </w:r>
      <w:r w:rsidRPr="00135DF9">
        <w:rPr>
          <w:rFonts w:ascii="Times New Roman" w:hAnsi="Times New Roman" w:cs="Times New Roman"/>
          <w:noProof/>
        </w:rPr>
        <w:t xml:space="preserve"> Labuschagne, M. (2020). </w:t>
      </w:r>
      <w:r w:rsidRPr="00D31C4D">
        <w:rPr>
          <w:rFonts w:ascii="Times New Roman" w:hAnsi="Times New Roman" w:cs="Times New Roman"/>
          <w:noProof/>
        </w:rPr>
        <w:t xml:space="preserve">Genotype and genotype × environment interaction effects on the grain yield performance of cowpea genotypes in dryland farming system in South Africa. </w:t>
      </w:r>
      <w:r w:rsidRPr="00D31C4D">
        <w:rPr>
          <w:rFonts w:ascii="Times New Roman" w:hAnsi="Times New Roman" w:cs="Times New Roman"/>
          <w:i/>
          <w:iCs/>
          <w:noProof/>
        </w:rPr>
        <w:t>Euphytica</w:t>
      </w:r>
      <w:r w:rsidRPr="00135DF9">
        <w:rPr>
          <w:rFonts w:ascii="Times New Roman" w:hAnsi="Times New Roman" w:cs="Times New Roman"/>
          <w:noProof/>
        </w:rPr>
        <w:t xml:space="preserve">, 216(5), 1–11. </w:t>
      </w:r>
    </w:p>
    <w:p w14:paraId="49D6D2FB" w14:textId="0FE5CD8C"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Ghorbani, R., Alemzadeh, A.</w:t>
      </w:r>
      <w:r w:rsidR="009E2672">
        <w:rPr>
          <w:rFonts w:ascii="Times New Roman" w:hAnsi="Times New Roman" w:cs="Times New Roman"/>
          <w:noProof/>
        </w:rPr>
        <w:t xml:space="preserve"> and</w:t>
      </w:r>
      <w:r w:rsidRPr="00135DF9">
        <w:rPr>
          <w:rFonts w:ascii="Times New Roman" w:hAnsi="Times New Roman" w:cs="Times New Roman"/>
          <w:noProof/>
        </w:rPr>
        <w:t xml:space="preserve"> Razi, H. (2019). </w:t>
      </w:r>
      <w:r w:rsidRPr="00D31C4D">
        <w:rPr>
          <w:rFonts w:ascii="Times New Roman" w:hAnsi="Times New Roman" w:cs="Times New Roman"/>
          <w:noProof/>
        </w:rPr>
        <w:t>Microarray analysis of transcriptional responses to salt and drought stress in Arabidopsis thaliana</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D31C4D">
        <w:rPr>
          <w:rFonts w:ascii="Times New Roman" w:hAnsi="Times New Roman" w:cs="Times New Roman"/>
          <w:i/>
          <w:iCs/>
          <w:noProof/>
        </w:rPr>
        <w:t>Heliyon</w:t>
      </w:r>
      <w:r w:rsidRPr="00135DF9">
        <w:rPr>
          <w:rFonts w:ascii="Times New Roman" w:hAnsi="Times New Roman" w:cs="Times New Roman"/>
          <w:noProof/>
        </w:rPr>
        <w:t xml:space="preserve">, 5(11), e02614. </w:t>
      </w:r>
    </w:p>
    <w:p w14:paraId="5168C2F8" w14:textId="2BDA021F"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Gower, J. C. (1966). </w:t>
      </w:r>
      <w:r w:rsidRPr="009E2672">
        <w:rPr>
          <w:rFonts w:ascii="Times New Roman" w:hAnsi="Times New Roman" w:cs="Times New Roman"/>
          <w:i/>
          <w:iCs/>
          <w:noProof/>
        </w:rPr>
        <w:t>Some Distance Properties of Latent Root and Vector Methods Used in Multivariate Analysis.</w:t>
      </w:r>
      <w:r w:rsidRPr="00135DF9">
        <w:rPr>
          <w:rFonts w:ascii="Times New Roman" w:hAnsi="Times New Roman" w:cs="Times New Roman"/>
          <w:noProof/>
        </w:rPr>
        <w:t xml:space="preserve"> </w:t>
      </w:r>
      <w:r w:rsidRPr="009E2672">
        <w:rPr>
          <w:rFonts w:ascii="Times New Roman" w:hAnsi="Times New Roman" w:cs="Times New Roman"/>
          <w:noProof/>
        </w:rPr>
        <w:t>Biometrika</w:t>
      </w:r>
      <w:r w:rsidRPr="00135DF9">
        <w:rPr>
          <w:rFonts w:ascii="Times New Roman" w:hAnsi="Times New Roman" w:cs="Times New Roman"/>
          <w:noProof/>
        </w:rPr>
        <w:t xml:space="preserve">, 53(3/4), 325. </w:t>
      </w:r>
    </w:p>
    <w:p w14:paraId="3B0C917D" w14:textId="03E4434F"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Grenfell, S., Grenfell, M., Tooth, S., Mehl, A., O’Gorman, E., Ralph, T. </w:t>
      </w:r>
      <w:r w:rsidR="00D31C4D">
        <w:rPr>
          <w:rFonts w:ascii="Times New Roman" w:hAnsi="Times New Roman" w:cs="Times New Roman"/>
          <w:noProof/>
        </w:rPr>
        <w:t>and</w:t>
      </w:r>
      <w:r w:rsidRPr="00135DF9">
        <w:rPr>
          <w:rFonts w:ascii="Times New Roman" w:hAnsi="Times New Roman" w:cs="Times New Roman"/>
          <w:noProof/>
        </w:rPr>
        <w:t xml:space="preserve"> Ellery, W. (2022). </w:t>
      </w:r>
      <w:r w:rsidRPr="00D31C4D">
        <w:rPr>
          <w:rFonts w:ascii="Times New Roman" w:hAnsi="Times New Roman" w:cs="Times New Roman"/>
          <w:noProof/>
        </w:rPr>
        <w:t xml:space="preserve">Wetlands in drylands: diverse perspectives for dynamic landscapes. </w:t>
      </w:r>
      <w:r w:rsidRPr="00D31C4D">
        <w:rPr>
          <w:rFonts w:ascii="Times New Roman" w:hAnsi="Times New Roman" w:cs="Times New Roman"/>
          <w:i/>
          <w:iCs/>
          <w:noProof/>
        </w:rPr>
        <w:t>Wetlands Ecology and Management</w:t>
      </w:r>
      <w:r w:rsidRPr="00135DF9">
        <w:rPr>
          <w:rFonts w:ascii="Times New Roman" w:hAnsi="Times New Roman" w:cs="Times New Roman"/>
          <w:noProof/>
        </w:rPr>
        <w:t xml:space="preserve">, 30(4), 607–622. </w:t>
      </w:r>
    </w:p>
    <w:p w14:paraId="6C3649BD" w14:textId="66F6E020"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Harsono, A., Harnowo, D., Ginting, E. </w:t>
      </w:r>
      <w:r w:rsidR="00D31C4D">
        <w:rPr>
          <w:rFonts w:ascii="Times New Roman" w:hAnsi="Times New Roman" w:cs="Times New Roman"/>
          <w:noProof/>
        </w:rPr>
        <w:t>and</w:t>
      </w:r>
      <w:r w:rsidRPr="00135DF9">
        <w:rPr>
          <w:rFonts w:ascii="Times New Roman" w:hAnsi="Times New Roman" w:cs="Times New Roman"/>
          <w:noProof/>
        </w:rPr>
        <w:t xml:space="preserve"> Adi Anggraeni Elisabeth, D. (2022). </w:t>
      </w:r>
      <w:r w:rsidRPr="00D31C4D">
        <w:rPr>
          <w:rFonts w:ascii="Times New Roman" w:hAnsi="Times New Roman" w:cs="Times New Roman"/>
          <w:noProof/>
        </w:rPr>
        <w:t>Soybean in Indonesia: Current Status, Challenges and Opportunities to Achieve Self-Sufficiency.</w:t>
      </w:r>
      <w:r w:rsidRPr="00135DF9">
        <w:rPr>
          <w:rFonts w:ascii="Times New Roman" w:hAnsi="Times New Roman" w:cs="Times New Roman"/>
          <w:noProof/>
        </w:rPr>
        <w:t xml:space="preserve"> </w:t>
      </w:r>
      <w:r w:rsidRPr="00D31C4D">
        <w:rPr>
          <w:rFonts w:ascii="Times New Roman" w:hAnsi="Times New Roman" w:cs="Times New Roman"/>
          <w:i/>
          <w:iCs/>
          <w:noProof/>
        </w:rPr>
        <w:t>Legumes Research</w:t>
      </w:r>
      <w:r w:rsidR="00D31C4D">
        <w:rPr>
          <w:rFonts w:ascii="Times New Roman" w:hAnsi="Times New Roman" w:cs="Times New Roman"/>
          <w:noProof/>
        </w:rPr>
        <w:t xml:space="preserve">. </w:t>
      </w:r>
      <w:r w:rsidRPr="00135DF9">
        <w:rPr>
          <w:rFonts w:ascii="Times New Roman" w:hAnsi="Times New Roman" w:cs="Times New Roman"/>
          <w:noProof/>
        </w:rPr>
        <w:t xml:space="preserve">Volume 1. </w:t>
      </w:r>
    </w:p>
    <w:p w14:paraId="79B7D5FC" w14:textId="28010ED5"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Islam, M. R., Sarker, B. C., Alam, M. A., Javed, T., Alam, M. J., Zaman, M. S. U., Azam, M. G., Shabbir, R., Raza, A., Habib‐ur‐rahman, M., Dessoky, E. S. </w:t>
      </w:r>
      <w:r w:rsidR="009E2672">
        <w:rPr>
          <w:rFonts w:ascii="Times New Roman" w:hAnsi="Times New Roman" w:cs="Times New Roman"/>
          <w:noProof/>
        </w:rPr>
        <w:t>and</w:t>
      </w:r>
      <w:r w:rsidRPr="00135DF9">
        <w:rPr>
          <w:rFonts w:ascii="Times New Roman" w:hAnsi="Times New Roman" w:cs="Times New Roman"/>
          <w:noProof/>
        </w:rPr>
        <w:t xml:space="preserve"> Islam, M. S. (2021). </w:t>
      </w:r>
      <w:r w:rsidRPr="009E2672">
        <w:rPr>
          <w:rFonts w:ascii="Times New Roman" w:hAnsi="Times New Roman" w:cs="Times New Roman"/>
          <w:noProof/>
        </w:rPr>
        <w:t>Yield stability and genotype environment interaction of water deficit stress tolerant mung bean (Vigna radiata l. wilczak) genotypes of Bangladesh.</w:t>
      </w:r>
      <w:r w:rsidRPr="00135DF9">
        <w:rPr>
          <w:rFonts w:ascii="Times New Roman" w:hAnsi="Times New Roman" w:cs="Times New Roman"/>
          <w:noProof/>
        </w:rPr>
        <w:t xml:space="preserve"> </w:t>
      </w:r>
      <w:r w:rsidRPr="009E2672">
        <w:rPr>
          <w:rFonts w:ascii="Times New Roman" w:hAnsi="Times New Roman" w:cs="Times New Roman"/>
          <w:i/>
          <w:iCs/>
          <w:noProof/>
        </w:rPr>
        <w:t>Agronomy</w:t>
      </w:r>
      <w:r w:rsidRPr="00135DF9">
        <w:rPr>
          <w:rFonts w:ascii="Times New Roman" w:hAnsi="Times New Roman" w:cs="Times New Roman"/>
          <w:noProof/>
        </w:rPr>
        <w:t xml:space="preserve">, 11(11). </w:t>
      </w:r>
    </w:p>
    <w:p w14:paraId="1C992E58" w14:textId="177A7841"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Kang, Y., Li, M., Sinharoy, S.</w:t>
      </w:r>
      <w:r w:rsidR="009E2672">
        <w:rPr>
          <w:rFonts w:ascii="Times New Roman" w:hAnsi="Times New Roman" w:cs="Times New Roman"/>
          <w:noProof/>
        </w:rPr>
        <w:t xml:space="preserve"> and</w:t>
      </w:r>
      <w:r w:rsidRPr="00135DF9">
        <w:rPr>
          <w:rFonts w:ascii="Times New Roman" w:hAnsi="Times New Roman" w:cs="Times New Roman"/>
          <w:noProof/>
        </w:rPr>
        <w:t xml:space="preserve"> Verdier, J. (2016). </w:t>
      </w:r>
      <w:r w:rsidRPr="009E2672">
        <w:rPr>
          <w:rFonts w:ascii="Times New Roman" w:hAnsi="Times New Roman" w:cs="Times New Roman"/>
          <w:noProof/>
        </w:rPr>
        <w:t>A snapshot of functional genetic studies in Medicago truncatula</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9E2672">
        <w:rPr>
          <w:rFonts w:ascii="Times New Roman" w:hAnsi="Times New Roman" w:cs="Times New Roman"/>
          <w:i/>
          <w:iCs/>
          <w:noProof/>
        </w:rPr>
        <w:t>Frontiers in Plant Science</w:t>
      </w:r>
      <w:r w:rsidRPr="00135DF9">
        <w:rPr>
          <w:rFonts w:ascii="Times New Roman" w:hAnsi="Times New Roman" w:cs="Times New Roman"/>
          <w:noProof/>
        </w:rPr>
        <w:t>, 7(A</w:t>
      </w:r>
      <w:r w:rsidR="009E2672">
        <w:rPr>
          <w:rFonts w:ascii="Times New Roman" w:hAnsi="Times New Roman" w:cs="Times New Roman"/>
          <w:noProof/>
        </w:rPr>
        <w:t xml:space="preserve">ug </w:t>
      </w:r>
      <w:r w:rsidRPr="00135DF9">
        <w:rPr>
          <w:rFonts w:ascii="Times New Roman" w:hAnsi="Times New Roman" w:cs="Times New Roman"/>
          <w:noProof/>
        </w:rPr>
        <w:t>2016).</w:t>
      </w:r>
    </w:p>
    <w:p w14:paraId="3B939AF2" w14:textId="57FB4D4C"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Khandelwal, V., Patel, R., Choudhary, K. B., Pawar, S. B., Patel, M. S., Iyanar, K., Mungra, K. D., Kumar, S.</w:t>
      </w:r>
      <w:r w:rsidR="009E2672">
        <w:rPr>
          <w:rFonts w:ascii="Times New Roman" w:hAnsi="Times New Roman" w:cs="Times New Roman"/>
          <w:noProof/>
        </w:rPr>
        <w:t xml:space="preserve"> and</w:t>
      </w:r>
      <w:r w:rsidRPr="00135DF9">
        <w:rPr>
          <w:rFonts w:ascii="Times New Roman" w:hAnsi="Times New Roman" w:cs="Times New Roman"/>
          <w:noProof/>
        </w:rPr>
        <w:t xml:space="preserve"> Satyavathi, C. T. (2024). </w:t>
      </w:r>
      <w:r w:rsidRPr="009E2672">
        <w:rPr>
          <w:rFonts w:ascii="Times New Roman" w:hAnsi="Times New Roman" w:cs="Times New Roman"/>
          <w:noProof/>
        </w:rPr>
        <w:t>Stability Analysis and Identification of Superior Hybrids in Pearl Millet [Pennisetum glaucum (L.) R. Br.] Using the Multi Trait Stability Index</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9E2672">
        <w:rPr>
          <w:rFonts w:ascii="Times New Roman" w:hAnsi="Times New Roman" w:cs="Times New Roman"/>
          <w:i/>
          <w:iCs/>
          <w:noProof/>
        </w:rPr>
        <w:t>Plants</w:t>
      </w:r>
      <w:r w:rsidRPr="00135DF9">
        <w:rPr>
          <w:rFonts w:ascii="Times New Roman" w:hAnsi="Times New Roman" w:cs="Times New Roman"/>
          <w:noProof/>
        </w:rPr>
        <w:t xml:space="preserve">, 13(8), 1–22. </w:t>
      </w:r>
    </w:p>
    <w:p w14:paraId="28ABF980" w14:textId="0A09EDCA"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Kuhn, M., Jackson, S.</w:t>
      </w:r>
      <w:r w:rsidR="009E2672">
        <w:rPr>
          <w:rFonts w:ascii="Times New Roman" w:hAnsi="Times New Roman" w:cs="Times New Roman"/>
          <w:noProof/>
        </w:rPr>
        <w:t xml:space="preserve"> and</w:t>
      </w:r>
      <w:r w:rsidRPr="00135DF9">
        <w:rPr>
          <w:rFonts w:ascii="Times New Roman" w:hAnsi="Times New Roman" w:cs="Times New Roman"/>
          <w:noProof/>
        </w:rPr>
        <w:t xml:space="preserve"> Cimentada, J. (2022). </w:t>
      </w:r>
      <w:r w:rsidRPr="000153A7">
        <w:rPr>
          <w:rFonts w:ascii="Times New Roman" w:hAnsi="Times New Roman" w:cs="Times New Roman"/>
          <w:i/>
          <w:iCs/>
          <w:noProof/>
        </w:rPr>
        <w:t xml:space="preserve">Correlations in R Package ‘ corrr ’ (0.4.4). </w:t>
      </w:r>
      <w:r w:rsidRPr="00135DF9">
        <w:rPr>
          <w:rFonts w:ascii="Times New Roman" w:hAnsi="Times New Roman" w:cs="Times New Roman"/>
          <w:noProof/>
        </w:rPr>
        <w:t xml:space="preserve">CRAN. </w:t>
      </w:r>
    </w:p>
    <w:p w14:paraId="688F7731" w14:textId="3AE0C5FD"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Mahaman Mourtala, I. Z., Oselebe, H. O., Baina, D. jimo, Nwankwo Innocent, I. M., Houdegbe, A. C., Oumarou, S., Chukwu, S. C.</w:t>
      </w:r>
      <w:r w:rsidR="009E2672">
        <w:rPr>
          <w:rFonts w:ascii="Times New Roman" w:hAnsi="Times New Roman" w:cs="Times New Roman"/>
          <w:noProof/>
        </w:rPr>
        <w:t xml:space="preserve"> and</w:t>
      </w:r>
      <w:r w:rsidRPr="00135DF9">
        <w:rPr>
          <w:rFonts w:ascii="Times New Roman" w:hAnsi="Times New Roman" w:cs="Times New Roman"/>
          <w:noProof/>
        </w:rPr>
        <w:t xml:space="preserve"> Moussa, B. (2023). </w:t>
      </w:r>
      <w:r w:rsidRPr="009E2672">
        <w:rPr>
          <w:rFonts w:ascii="Times New Roman" w:hAnsi="Times New Roman" w:cs="Times New Roman"/>
          <w:noProof/>
        </w:rPr>
        <w:t>Selection of new sweetpotato hybrids for West Africa using accelerated breeding scheme and genotype × environment interaction under drought stress.</w:t>
      </w:r>
      <w:r w:rsidRPr="00135DF9">
        <w:rPr>
          <w:rFonts w:ascii="Times New Roman" w:hAnsi="Times New Roman" w:cs="Times New Roman"/>
          <w:noProof/>
        </w:rPr>
        <w:t xml:space="preserve"> </w:t>
      </w:r>
      <w:r w:rsidRPr="009E2672">
        <w:rPr>
          <w:rFonts w:ascii="Times New Roman" w:hAnsi="Times New Roman" w:cs="Times New Roman"/>
          <w:i/>
          <w:iCs/>
          <w:noProof/>
        </w:rPr>
        <w:t>Scientific Reports</w:t>
      </w:r>
      <w:r w:rsidRPr="00135DF9">
        <w:rPr>
          <w:rFonts w:ascii="Times New Roman" w:hAnsi="Times New Roman" w:cs="Times New Roman"/>
          <w:noProof/>
        </w:rPr>
        <w:t xml:space="preserve">, 13(1), 1–13. </w:t>
      </w:r>
    </w:p>
    <w:p w14:paraId="62DC8EE1" w14:textId="4AE7412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lastRenderedPageBreak/>
        <w:t>Majidian, P., Masoudi, B., Hezarjaribi, E., Razmi, N., Peyghamzadeh, K.</w:t>
      </w:r>
      <w:r w:rsidR="009E2672">
        <w:rPr>
          <w:rFonts w:ascii="Times New Roman" w:hAnsi="Times New Roman" w:cs="Times New Roman"/>
          <w:noProof/>
        </w:rPr>
        <w:t xml:space="preserve"> and</w:t>
      </w:r>
      <w:r w:rsidRPr="00135DF9">
        <w:rPr>
          <w:rFonts w:ascii="Times New Roman" w:hAnsi="Times New Roman" w:cs="Times New Roman"/>
          <w:noProof/>
        </w:rPr>
        <w:t xml:space="preserve"> Gholizadeh, A. (2024). </w:t>
      </w:r>
      <w:r w:rsidRPr="009E2672">
        <w:rPr>
          <w:rFonts w:ascii="Times New Roman" w:hAnsi="Times New Roman" w:cs="Times New Roman"/>
          <w:noProof/>
        </w:rPr>
        <w:t xml:space="preserve">Deciphering genotype-by-environment interaction in new soybean lines based on multiple traits using different adaptability and stability methods. </w:t>
      </w:r>
      <w:r w:rsidRPr="009E2672">
        <w:rPr>
          <w:rFonts w:ascii="Times New Roman" w:hAnsi="Times New Roman" w:cs="Times New Roman"/>
          <w:i/>
          <w:iCs/>
          <w:noProof/>
        </w:rPr>
        <w:t>Food Science and Nutrition</w:t>
      </w:r>
      <w:r w:rsidRPr="00135DF9">
        <w:rPr>
          <w:rFonts w:ascii="Times New Roman" w:hAnsi="Times New Roman" w:cs="Times New Roman"/>
          <w:noProof/>
        </w:rPr>
        <w:t xml:space="preserve">, 12(5), 3295–3308. </w:t>
      </w:r>
    </w:p>
    <w:p w14:paraId="42624626" w14:textId="4D0EAE15"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Markulj Kulundžić, A., Josipović, A., Matoša Kočar, M., Viljevac Vuletić, M., Antunović Dunić, J., Varga, I., Cesar, V., Sudarić, A.</w:t>
      </w:r>
      <w:r w:rsidR="009E2672">
        <w:rPr>
          <w:rFonts w:ascii="Times New Roman" w:hAnsi="Times New Roman" w:cs="Times New Roman"/>
          <w:noProof/>
        </w:rPr>
        <w:t xml:space="preserve"> and</w:t>
      </w:r>
      <w:r w:rsidRPr="00135DF9">
        <w:rPr>
          <w:rFonts w:ascii="Times New Roman" w:hAnsi="Times New Roman" w:cs="Times New Roman"/>
          <w:noProof/>
        </w:rPr>
        <w:t xml:space="preserve"> Lepeduš, H. (2022). </w:t>
      </w:r>
      <w:r w:rsidRPr="009E2672">
        <w:rPr>
          <w:rFonts w:ascii="Times New Roman" w:hAnsi="Times New Roman" w:cs="Times New Roman"/>
          <w:noProof/>
        </w:rPr>
        <w:t>Physiological insights on soybean response to drought</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9E2672">
        <w:rPr>
          <w:rFonts w:ascii="Times New Roman" w:hAnsi="Times New Roman" w:cs="Times New Roman"/>
          <w:i/>
          <w:iCs/>
          <w:noProof/>
        </w:rPr>
        <w:t>Agricultural Water Management</w:t>
      </w:r>
      <w:r w:rsidRPr="00135DF9">
        <w:rPr>
          <w:rFonts w:ascii="Times New Roman" w:hAnsi="Times New Roman" w:cs="Times New Roman"/>
          <w:noProof/>
        </w:rPr>
        <w:t>, 268(</w:t>
      </w:r>
      <w:r w:rsidR="009E2672">
        <w:rPr>
          <w:rFonts w:ascii="Times New Roman" w:hAnsi="Times New Roman" w:cs="Times New Roman"/>
          <w:noProof/>
        </w:rPr>
        <w:t>3</w:t>
      </w:r>
      <w:r w:rsidRPr="00135DF9">
        <w:rPr>
          <w:rFonts w:ascii="Times New Roman" w:hAnsi="Times New Roman" w:cs="Times New Roman"/>
          <w:noProof/>
        </w:rPr>
        <w:t xml:space="preserve">). </w:t>
      </w:r>
    </w:p>
    <w:p w14:paraId="4F29F5AC" w14:textId="3A918AE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Mburu, S. W., Koskey, G., Njeru, E. M., Ombori, O., Maingi, J.</w:t>
      </w:r>
      <w:r w:rsidR="009E2672">
        <w:rPr>
          <w:rFonts w:ascii="Times New Roman" w:hAnsi="Times New Roman" w:cs="Times New Roman"/>
          <w:noProof/>
        </w:rPr>
        <w:t xml:space="preserve"> and</w:t>
      </w:r>
      <w:r w:rsidRPr="00135DF9">
        <w:rPr>
          <w:rFonts w:ascii="Times New Roman" w:hAnsi="Times New Roman" w:cs="Times New Roman"/>
          <w:noProof/>
        </w:rPr>
        <w:t xml:space="preserve"> Kimiti, J. M. (2022). </w:t>
      </w:r>
      <w:r w:rsidRPr="009E2672">
        <w:rPr>
          <w:rFonts w:ascii="Times New Roman" w:hAnsi="Times New Roman" w:cs="Times New Roman"/>
          <w:noProof/>
        </w:rPr>
        <w:t>Genetic and phenotypic diversity of microsymbionts nodulating promiscuous soybeans from different agro-climatic conditions.</w:t>
      </w:r>
      <w:r w:rsidRPr="00135DF9">
        <w:rPr>
          <w:rFonts w:ascii="Times New Roman" w:hAnsi="Times New Roman" w:cs="Times New Roman"/>
          <w:noProof/>
        </w:rPr>
        <w:t xml:space="preserve"> </w:t>
      </w:r>
      <w:r w:rsidRPr="009E2672">
        <w:rPr>
          <w:rFonts w:ascii="Times New Roman" w:hAnsi="Times New Roman" w:cs="Times New Roman"/>
          <w:i/>
          <w:iCs/>
          <w:noProof/>
        </w:rPr>
        <w:t>Journal of Genetic Engineering and Biotechnology</w:t>
      </w:r>
      <w:r w:rsidRPr="00135DF9">
        <w:rPr>
          <w:rFonts w:ascii="Times New Roman" w:hAnsi="Times New Roman" w:cs="Times New Roman"/>
          <w:noProof/>
        </w:rPr>
        <w:t xml:space="preserve">, 20(1), 109. </w:t>
      </w:r>
    </w:p>
    <w:p w14:paraId="17C2A778" w14:textId="520AB491"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Mekonnen, T. W., Mekbib, F., Amsalu, B., Gedil, M.</w:t>
      </w:r>
      <w:r w:rsidR="009E2672">
        <w:rPr>
          <w:rFonts w:ascii="Times New Roman" w:hAnsi="Times New Roman" w:cs="Times New Roman"/>
          <w:noProof/>
        </w:rPr>
        <w:t xml:space="preserve"> and</w:t>
      </w:r>
      <w:r w:rsidRPr="00135DF9">
        <w:rPr>
          <w:rFonts w:ascii="Times New Roman" w:hAnsi="Times New Roman" w:cs="Times New Roman"/>
          <w:noProof/>
        </w:rPr>
        <w:t xml:space="preserve"> Labuschagne, M. (2022). </w:t>
      </w:r>
      <w:r w:rsidRPr="009E2672">
        <w:rPr>
          <w:rFonts w:ascii="Times New Roman" w:hAnsi="Times New Roman" w:cs="Times New Roman"/>
          <w:noProof/>
        </w:rPr>
        <w:t xml:space="preserve">Genotype by environment interaction and grain yield stability of drought tolerant cowpea landraces in Ethiopia. </w:t>
      </w:r>
      <w:r w:rsidRPr="009E2672">
        <w:rPr>
          <w:rFonts w:ascii="Times New Roman" w:hAnsi="Times New Roman" w:cs="Times New Roman"/>
          <w:i/>
          <w:iCs/>
          <w:noProof/>
        </w:rPr>
        <w:t>Euphytica</w:t>
      </w:r>
      <w:r w:rsidRPr="00135DF9">
        <w:rPr>
          <w:rFonts w:ascii="Times New Roman" w:hAnsi="Times New Roman" w:cs="Times New Roman"/>
          <w:noProof/>
        </w:rPr>
        <w:t xml:space="preserve">, 218(5), 1–13. </w:t>
      </w:r>
    </w:p>
    <w:p w14:paraId="219F7439" w14:textId="4EA84CD1"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Montanha, G. S., Perez, L. C., Brandão, J. R., de Camargo, R. F., Tavares, T. R., de Almeida, E.</w:t>
      </w:r>
      <w:r w:rsidR="009E2672">
        <w:rPr>
          <w:rFonts w:ascii="Times New Roman" w:hAnsi="Times New Roman" w:cs="Times New Roman"/>
          <w:noProof/>
        </w:rPr>
        <w:t xml:space="preserve"> and</w:t>
      </w:r>
      <w:r w:rsidRPr="00135DF9">
        <w:rPr>
          <w:rFonts w:ascii="Times New Roman" w:hAnsi="Times New Roman" w:cs="Times New Roman"/>
          <w:noProof/>
        </w:rPr>
        <w:t xml:space="preserve"> de Carvalho, H. W. P. (2022). </w:t>
      </w:r>
      <w:r w:rsidRPr="009E2672">
        <w:rPr>
          <w:rFonts w:ascii="Times New Roman" w:hAnsi="Times New Roman" w:cs="Times New Roman"/>
          <w:noProof/>
        </w:rPr>
        <w:t>May mineral composition trigger or limit the protein content in soybean (Glycine max (L.) Merrill) seeds? Insights from a survey on 95 varieties cultivated in Brazil.</w:t>
      </w:r>
      <w:r w:rsidRPr="00135DF9">
        <w:rPr>
          <w:rFonts w:ascii="Times New Roman" w:hAnsi="Times New Roman" w:cs="Times New Roman"/>
          <w:noProof/>
        </w:rPr>
        <w:t xml:space="preserve"> </w:t>
      </w:r>
      <w:r w:rsidRPr="009E2672">
        <w:rPr>
          <w:rFonts w:ascii="Times New Roman" w:hAnsi="Times New Roman" w:cs="Times New Roman"/>
          <w:i/>
          <w:iCs/>
          <w:noProof/>
        </w:rPr>
        <w:t>BioRxiv</w:t>
      </w:r>
      <w:r w:rsidRPr="00135DF9">
        <w:rPr>
          <w:rFonts w:ascii="Times New Roman" w:hAnsi="Times New Roman" w:cs="Times New Roman"/>
          <w:noProof/>
        </w:rPr>
        <w:t>.</w:t>
      </w:r>
    </w:p>
    <w:p w14:paraId="7D3A6913" w14:textId="55A11AA5"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Nakagawa, A. C. S., Ario, N., Tomita, Y., Tanaka, S., Murayama, N., Mizuta, C., Iwaya-Inoue, M.</w:t>
      </w:r>
      <w:r w:rsidR="009E2672">
        <w:rPr>
          <w:rFonts w:ascii="Times New Roman" w:hAnsi="Times New Roman" w:cs="Times New Roman"/>
          <w:noProof/>
        </w:rPr>
        <w:t xml:space="preserve"> and</w:t>
      </w:r>
      <w:r w:rsidRPr="00135DF9">
        <w:rPr>
          <w:rFonts w:ascii="Times New Roman" w:hAnsi="Times New Roman" w:cs="Times New Roman"/>
          <w:noProof/>
        </w:rPr>
        <w:t xml:space="preserve"> Ishibashi, Y. (2020). </w:t>
      </w:r>
      <w:r w:rsidRPr="009E2672">
        <w:rPr>
          <w:rFonts w:ascii="Times New Roman" w:hAnsi="Times New Roman" w:cs="Times New Roman"/>
          <w:noProof/>
        </w:rPr>
        <w:t>High temperature during soybean seed development differentially alters lipid and protein metabolism.</w:t>
      </w:r>
      <w:r w:rsidRPr="000153A7">
        <w:rPr>
          <w:rFonts w:ascii="Times New Roman" w:hAnsi="Times New Roman" w:cs="Times New Roman"/>
          <w:i/>
          <w:iCs/>
          <w:noProof/>
        </w:rPr>
        <w:t xml:space="preserve"> </w:t>
      </w:r>
      <w:r w:rsidRPr="009E2672">
        <w:rPr>
          <w:rFonts w:ascii="Times New Roman" w:hAnsi="Times New Roman" w:cs="Times New Roman"/>
          <w:i/>
          <w:iCs/>
          <w:noProof/>
        </w:rPr>
        <w:t>Plant Production Science</w:t>
      </w:r>
      <w:r w:rsidRPr="00135DF9">
        <w:rPr>
          <w:rFonts w:ascii="Times New Roman" w:hAnsi="Times New Roman" w:cs="Times New Roman"/>
          <w:noProof/>
        </w:rPr>
        <w:t xml:space="preserve">, 23(4), 504–512. </w:t>
      </w:r>
    </w:p>
    <w:p w14:paraId="44DDEAD9" w14:textId="0B3F8596"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Onder,  sercan, Erbas, S., Onder, D., Tonguc, M.</w:t>
      </w:r>
      <w:r w:rsidR="009E2672">
        <w:rPr>
          <w:rFonts w:ascii="Times New Roman" w:hAnsi="Times New Roman" w:cs="Times New Roman"/>
          <w:noProof/>
        </w:rPr>
        <w:t xml:space="preserve"> and</w:t>
      </w:r>
      <w:r w:rsidRPr="00135DF9">
        <w:rPr>
          <w:rFonts w:ascii="Times New Roman" w:hAnsi="Times New Roman" w:cs="Times New Roman"/>
          <w:noProof/>
        </w:rPr>
        <w:t xml:space="preserve"> Mutlucan, M. (2022). </w:t>
      </w:r>
      <w:r w:rsidR="000153A7" w:rsidRPr="000153A7">
        <w:rPr>
          <w:rFonts w:ascii="Times New Roman" w:hAnsi="Times New Roman" w:cs="Times New Roman"/>
          <w:i/>
          <w:iCs/>
          <w:noProof/>
        </w:rPr>
        <w:t>S</w:t>
      </w:r>
      <w:r w:rsidRPr="000153A7">
        <w:rPr>
          <w:rFonts w:ascii="Times New Roman" w:hAnsi="Times New Roman" w:cs="Times New Roman"/>
          <w:i/>
          <w:iCs/>
          <w:noProof/>
        </w:rPr>
        <w:t>eed filling</w:t>
      </w:r>
      <w:r w:rsidRPr="00135DF9">
        <w:rPr>
          <w:rFonts w:ascii="Times New Roman" w:hAnsi="Times New Roman" w:cs="Times New Roman"/>
          <w:noProof/>
        </w:rPr>
        <w:t xml:space="preserve">. IntechOpen, 11(tourism), 13. </w:t>
      </w:r>
    </w:p>
    <w:p w14:paraId="108764DF" w14:textId="360C5526"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Palaniyappan, S., Ganesan, K. N., Manivannan, N.</w:t>
      </w:r>
      <w:r w:rsidR="00855859">
        <w:rPr>
          <w:rFonts w:ascii="Times New Roman" w:hAnsi="Times New Roman" w:cs="Times New Roman"/>
          <w:noProof/>
        </w:rPr>
        <w:t xml:space="preserve"> </w:t>
      </w:r>
      <w:r w:rsidR="009E2672">
        <w:rPr>
          <w:rFonts w:ascii="Times New Roman" w:hAnsi="Times New Roman" w:cs="Times New Roman"/>
          <w:noProof/>
        </w:rPr>
        <w:t>and</w:t>
      </w:r>
      <w:r w:rsidRPr="00135DF9">
        <w:rPr>
          <w:rFonts w:ascii="Times New Roman" w:hAnsi="Times New Roman" w:cs="Times New Roman"/>
          <w:noProof/>
        </w:rPr>
        <w:t xml:space="preserve"> Senthil, N. (2023). </w:t>
      </w:r>
      <w:r w:rsidRPr="009E2672">
        <w:rPr>
          <w:rFonts w:ascii="Times New Roman" w:hAnsi="Times New Roman" w:cs="Times New Roman"/>
          <w:noProof/>
        </w:rPr>
        <w:t>Multi trait genotype- ideotype distance index - A tool for identification of elite parental inbreds for developing heterotic hybrids of fodder maize (Zea mays L.)</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9E2672">
        <w:rPr>
          <w:rFonts w:ascii="Times New Roman" w:hAnsi="Times New Roman" w:cs="Times New Roman"/>
          <w:i/>
          <w:iCs/>
          <w:noProof/>
        </w:rPr>
        <w:t>Electronic Journal of Plant Breeding</w:t>
      </w:r>
      <w:r w:rsidRPr="00135DF9">
        <w:rPr>
          <w:rFonts w:ascii="Times New Roman" w:hAnsi="Times New Roman" w:cs="Times New Roman"/>
          <w:noProof/>
        </w:rPr>
        <w:t xml:space="preserve">, 14(3), 841–849. </w:t>
      </w:r>
    </w:p>
    <w:p w14:paraId="353570EA" w14:textId="23F6FAF2"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Rahimi Moghaddam, S., Amiri, S.</w:t>
      </w:r>
      <w:r w:rsidR="009E2672">
        <w:rPr>
          <w:rFonts w:ascii="Times New Roman" w:hAnsi="Times New Roman" w:cs="Times New Roman"/>
          <w:noProof/>
        </w:rPr>
        <w:t xml:space="preserve"> and</w:t>
      </w:r>
      <w:r w:rsidRPr="00135DF9">
        <w:rPr>
          <w:rFonts w:ascii="Times New Roman" w:hAnsi="Times New Roman" w:cs="Times New Roman"/>
          <w:noProof/>
        </w:rPr>
        <w:t xml:space="preserve"> Eyni-Nargeseh, H. (2023). </w:t>
      </w:r>
      <w:r w:rsidRPr="009E2672">
        <w:rPr>
          <w:rFonts w:ascii="Times New Roman" w:hAnsi="Times New Roman" w:cs="Times New Roman"/>
          <w:noProof/>
        </w:rPr>
        <w:t>Assessing chickpea attainable yield and closing the yield gaps caused by agronomic and genetic factors.</w:t>
      </w:r>
      <w:r w:rsidRPr="000153A7">
        <w:rPr>
          <w:rFonts w:ascii="Times New Roman" w:hAnsi="Times New Roman" w:cs="Times New Roman"/>
          <w:i/>
          <w:iCs/>
          <w:noProof/>
        </w:rPr>
        <w:t xml:space="preserve"> </w:t>
      </w:r>
      <w:r w:rsidRPr="009E2672">
        <w:rPr>
          <w:rFonts w:ascii="Times New Roman" w:hAnsi="Times New Roman" w:cs="Times New Roman"/>
          <w:i/>
          <w:iCs/>
          <w:noProof/>
        </w:rPr>
        <w:t>Field Crops Research</w:t>
      </w:r>
      <w:r w:rsidRPr="00135DF9">
        <w:rPr>
          <w:rFonts w:ascii="Times New Roman" w:hAnsi="Times New Roman" w:cs="Times New Roman"/>
          <w:noProof/>
        </w:rPr>
        <w:t xml:space="preserve">, 303(September), 109137. </w:t>
      </w:r>
    </w:p>
    <w:p w14:paraId="5E3999CC" w14:textId="3E893724"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Rani, R., Arif, M., Rahman, S. U., Hammad, M., Mukhtar, Z., Rizwan, M., Shimelis, H.</w:t>
      </w:r>
      <w:r w:rsidR="009E2672">
        <w:rPr>
          <w:rFonts w:ascii="Times New Roman" w:hAnsi="Times New Roman" w:cs="Times New Roman"/>
          <w:noProof/>
        </w:rPr>
        <w:t xml:space="preserve"> and</w:t>
      </w:r>
      <w:r w:rsidRPr="00135DF9">
        <w:rPr>
          <w:rFonts w:ascii="Times New Roman" w:hAnsi="Times New Roman" w:cs="Times New Roman"/>
          <w:noProof/>
        </w:rPr>
        <w:t xml:space="preserve"> Raza, G. (2023). </w:t>
      </w:r>
      <w:r w:rsidRPr="009E2672">
        <w:rPr>
          <w:rFonts w:ascii="Times New Roman" w:hAnsi="Times New Roman" w:cs="Times New Roman"/>
          <w:noProof/>
        </w:rPr>
        <w:t xml:space="preserve">Field Screening of Diverse Soybean Germplasm to Characterize Their Adaptability under Long-Day Condition. </w:t>
      </w:r>
      <w:r w:rsidRPr="009E2672">
        <w:rPr>
          <w:rFonts w:ascii="Times New Roman" w:hAnsi="Times New Roman" w:cs="Times New Roman"/>
          <w:i/>
          <w:iCs/>
          <w:noProof/>
        </w:rPr>
        <w:t>Agronomy</w:t>
      </w:r>
      <w:r w:rsidRPr="00135DF9">
        <w:rPr>
          <w:rFonts w:ascii="Times New Roman" w:hAnsi="Times New Roman" w:cs="Times New Roman"/>
          <w:noProof/>
        </w:rPr>
        <w:t xml:space="preserve">, 13(9), 1–17. </w:t>
      </w:r>
    </w:p>
    <w:p w14:paraId="62CE0A50" w14:textId="7777777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Resende, M. D. V. (2002). </w:t>
      </w:r>
      <w:r w:rsidRPr="000153A7">
        <w:rPr>
          <w:rFonts w:ascii="Times New Roman" w:hAnsi="Times New Roman" w:cs="Times New Roman"/>
          <w:i/>
          <w:iCs/>
          <w:noProof/>
        </w:rPr>
        <w:t>Genética biométrica e estatística no melhoramentode plantas perenes.</w:t>
      </w:r>
      <w:r w:rsidRPr="00135DF9">
        <w:rPr>
          <w:rFonts w:ascii="Times New Roman" w:hAnsi="Times New Roman" w:cs="Times New Roman"/>
          <w:noProof/>
        </w:rPr>
        <w:t xml:space="preserve"> In Pesquisa Agropecuaria Brasileira (Issue 10).</w:t>
      </w:r>
    </w:p>
    <w:p w14:paraId="156E8BC9" w14:textId="3DB57451"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Rychel-Bielska, S., Książkiewicz, M., Kurasiak-Popowska, D., Tomkowiak, A., Bielski, W., Weigt, D., Niemann, J., Surma, A., Kozak, B.</w:t>
      </w:r>
      <w:r w:rsidR="009E2672">
        <w:rPr>
          <w:rFonts w:ascii="Times New Roman" w:hAnsi="Times New Roman" w:cs="Times New Roman"/>
          <w:noProof/>
        </w:rPr>
        <w:t xml:space="preserve"> and</w:t>
      </w:r>
      <w:r w:rsidRPr="00135DF9">
        <w:rPr>
          <w:rFonts w:ascii="Times New Roman" w:hAnsi="Times New Roman" w:cs="Times New Roman"/>
          <w:noProof/>
        </w:rPr>
        <w:t xml:space="preserve"> Nawracała, J. (2024). </w:t>
      </w:r>
      <w:r w:rsidRPr="009E2672">
        <w:rPr>
          <w:rFonts w:ascii="Times New Roman" w:hAnsi="Times New Roman" w:cs="Times New Roman"/>
          <w:noProof/>
        </w:rPr>
        <w:t>Molecular selection of soybean towards adaptation to Central European agroclimatic conditions.</w:t>
      </w:r>
      <w:r w:rsidRPr="000153A7">
        <w:rPr>
          <w:rFonts w:ascii="Times New Roman" w:hAnsi="Times New Roman" w:cs="Times New Roman"/>
          <w:i/>
          <w:iCs/>
          <w:noProof/>
        </w:rPr>
        <w:t xml:space="preserve"> </w:t>
      </w:r>
      <w:r w:rsidRPr="00135DF9">
        <w:rPr>
          <w:rFonts w:ascii="Times New Roman" w:hAnsi="Times New Roman" w:cs="Times New Roman"/>
          <w:noProof/>
        </w:rPr>
        <w:t>J</w:t>
      </w:r>
      <w:r w:rsidRPr="009E2672">
        <w:rPr>
          <w:rFonts w:ascii="Times New Roman" w:hAnsi="Times New Roman" w:cs="Times New Roman"/>
          <w:i/>
          <w:iCs/>
          <w:noProof/>
        </w:rPr>
        <w:t>ournal of Applied Genetics.</w:t>
      </w:r>
      <w:r w:rsidRPr="00135DF9">
        <w:rPr>
          <w:rFonts w:ascii="Times New Roman" w:hAnsi="Times New Roman" w:cs="Times New Roman"/>
          <w:noProof/>
        </w:rPr>
        <w:t xml:space="preserve"> </w:t>
      </w:r>
    </w:p>
    <w:p w14:paraId="4CF56700" w14:textId="1E9129CC"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Saryoko, A., Homma, K., Lubis, I.</w:t>
      </w:r>
      <w:r w:rsidR="009E2672">
        <w:rPr>
          <w:rFonts w:ascii="Times New Roman" w:hAnsi="Times New Roman" w:cs="Times New Roman"/>
          <w:noProof/>
        </w:rPr>
        <w:t xml:space="preserve"> and</w:t>
      </w:r>
      <w:r w:rsidRPr="00135DF9">
        <w:rPr>
          <w:rFonts w:ascii="Times New Roman" w:hAnsi="Times New Roman" w:cs="Times New Roman"/>
          <w:noProof/>
        </w:rPr>
        <w:t xml:space="preserve"> Shiraiwa, T. (2017). </w:t>
      </w:r>
      <w:r w:rsidRPr="009E2672">
        <w:rPr>
          <w:rFonts w:ascii="Times New Roman" w:hAnsi="Times New Roman" w:cs="Times New Roman"/>
          <w:noProof/>
        </w:rPr>
        <w:t>Plant development and yield components under a tropical environment in soybean cultivars with temperate and tropical origins.</w:t>
      </w:r>
      <w:r w:rsidRPr="00135DF9">
        <w:rPr>
          <w:rFonts w:ascii="Times New Roman" w:hAnsi="Times New Roman" w:cs="Times New Roman"/>
          <w:noProof/>
        </w:rPr>
        <w:t xml:space="preserve"> </w:t>
      </w:r>
      <w:r w:rsidRPr="009E2672">
        <w:rPr>
          <w:rFonts w:ascii="Times New Roman" w:hAnsi="Times New Roman" w:cs="Times New Roman"/>
          <w:i/>
          <w:iCs/>
          <w:noProof/>
        </w:rPr>
        <w:t>Plant Production Science</w:t>
      </w:r>
      <w:r w:rsidRPr="00135DF9">
        <w:rPr>
          <w:rFonts w:ascii="Times New Roman" w:hAnsi="Times New Roman" w:cs="Times New Roman"/>
          <w:noProof/>
        </w:rPr>
        <w:t xml:space="preserve">, 20(4), 375–383. </w:t>
      </w:r>
    </w:p>
    <w:p w14:paraId="7D7D41B0" w14:textId="27D8CF11"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Sehgal, A., Sita, K., Siddique, K. H. M., Kumar, R., Bhogireddy, S., Varshney, R. K., HanumanthaRao, B., Nair, R. M., Prasad, P. V. V.</w:t>
      </w:r>
      <w:r w:rsidR="00855859">
        <w:rPr>
          <w:rFonts w:ascii="Times New Roman" w:hAnsi="Times New Roman" w:cs="Times New Roman"/>
          <w:noProof/>
        </w:rPr>
        <w:t xml:space="preserve"> and</w:t>
      </w:r>
      <w:r w:rsidRPr="00135DF9">
        <w:rPr>
          <w:rFonts w:ascii="Times New Roman" w:hAnsi="Times New Roman" w:cs="Times New Roman"/>
          <w:noProof/>
        </w:rPr>
        <w:t xml:space="preserve"> Nayyar, H. (2018). </w:t>
      </w:r>
      <w:r w:rsidRPr="009E2672">
        <w:rPr>
          <w:rFonts w:ascii="Times New Roman" w:hAnsi="Times New Roman" w:cs="Times New Roman"/>
          <w:noProof/>
        </w:rPr>
        <w:t>Drought or/and heat-stress effects on seed filling in food crops: Impacts on functional biochemistry, seed yields, and nutritional quality.</w:t>
      </w:r>
      <w:r w:rsidRPr="00135DF9">
        <w:rPr>
          <w:rFonts w:ascii="Times New Roman" w:hAnsi="Times New Roman" w:cs="Times New Roman"/>
          <w:noProof/>
        </w:rPr>
        <w:t xml:space="preserve"> </w:t>
      </w:r>
      <w:r w:rsidRPr="009E2672">
        <w:rPr>
          <w:rFonts w:ascii="Times New Roman" w:hAnsi="Times New Roman" w:cs="Times New Roman"/>
          <w:i/>
          <w:iCs/>
          <w:noProof/>
        </w:rPr>
        <w:t>Frontiers in Plant Science</w:t>
      </w:r>
      <w:r w:rsidRPr="00135DF9">
        <w:rPr>
          <w:rFonts w:ascii="Times New Roman" w:hAnsi="Times New Roman" w:cs="Times New Roman"/>
          <w:noProof/>
        </w:rPr>
        <w:t xml:space="preserve">, 871(November), 1–19. </w:t>
      </w:r>
    </w:p>
    <w:p w14:paraId="494E0335" w14:textId="2FA56F5E"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Singamsetti, A., Zaidi, P. H., Seetharam, K., Vinayan, M. T., Olivoto, T., Mahato, A., Madankar, K., Kumar, M.</w:t>
      </w:r>
      <w:r w:rsidR="00855859">
        <w:rPr>
          <w:rFonts w:ascii="Times New Roman" w:hAnsi="Times New Roman" w:cs="Times New Roman"/>
          <w:noProof/>
        </w:rPr>
        <w:t xml:space="preserve"> and</w:t>
      </w:r>
      <w:r w:rsidRPr="00135DF9">
        <w:rPr>
          <w:rFonts w:ascii="Times New Roman" w:hAnsi="Times New Roman" w:cs="Times New Roman"/>
          <w:noProof/>
        </w:rPr>
        <w:t xml:space="preserve"> Shikha, K. (2023). </w:t>
      </w:r>
      <w:r w:rsidRPr="00855859">
        <w:rPr>
          <w:rFonts w:ascii="Times New Roman" w:hAnsi="Times New Roman" w:cs="Times New Roman"/>
          <w:noProof/>
        </w:rPr>
        <w:t>Genetic gains in tropical maize hybrids across moisture regimes with multi-trait-based index selection.</w:t>
      </w:r>
      <w:r w:rsidRPr="00135DF9">
        <w:rPr>
          <w:rFonts w:ascii="Times New Roman" w:hAnsi="Times New Roman" w:cs="Times New Roman"/>
          <w:noProof/>
        </w:rPr>
        <w:t xml:space="preserve"> </w:t>
      </w:r>
      <w:r w:rsidRPr="00855859">
        <w:rPr>
          <w:rFonts w:ascii="Times New Roman" w:hAnsi="Times New Roman" w:cs="Times New Roman"/>
          <w:i/>
          <w:iCs/>
          <w:noProof/>
        </w:rPr>
        <w:t>Frontiers in Plant Science</w:t>
      </w:r>
      <w:r w:rsidRPr="00135DF9">
        <w:rPr>
          <w:rFonts w:ascii="Times New Roman" w:hAnsi="Times New Roman" w:cs="Times New Roman"/>
          <w:noProof/>
        </w:rPr>
        <w:t xml:space="preserve">, 14(March), 1–16. </w:t>
      </w:r>
    </w:p>
    <w:p w14:paraId="50DDF546" w14:textId="250BD1B0"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Tanwar, B., &amp; Goyal, A. (2020). </w:t>
      </w:r>
      <w:r w:rsidRPr="000153A7">
        <w:rPr>
          <w:rFonts w:ascii="Times New Roman" w:hAnsi="Times New Roman" w:cs="Times New Roman"/>
          <w:i/>
          <w:iCs/>
          <w:noProof/>
        </w:rPr>
        <w:t>Oilseeds: Health Attributes and Food Applications.</w:t>
      </w:r>
    </w:p>
    <w:p w14:paraId="6E176348" w14:textId="5E7C2DF5"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Terryana, R. T., Safina, N. D., Suryani, S., Nugroho, K.</w:t>
      </w:r>
      <w:r w:rsidR="00855859">
        <w:rPr>
          <w:rFonts w:ascii="Times New Roman" w:hAnsi="Times New Roman" w:cs="Times New Roman"/>
          <w:noProof/>
        </w:rPr>
        <w:t xml:space="preserve"> and</w:t>
      </w:r>
      <w:r w:rsidRPr="00135DF9">
        <w:rPr>
          <w:rFonts w:ascii="Times New Roman" w:hAnsi="Times New Roman" w:cs="Times New Roman"/>
          <w:noProof/>
        </w:rPr>
        <w:t xml:space="preserve"> Lestari, P. (2020). </w:t>
      </w:r>
      <w:r w:rsidRPr="00855859">
        <w:rPr>
          <w:rFonts w:ascii="Times New Roman" w:hAnsi="Times New Roman" w:cs="Times New Roman"/>
          <w:noProof/>
        </w:rPr>
        <w:t>Analisis Keragaman Genetik Aksesi Kedelai Introduksi Dari Wilayah Subtropis Berbasis Morfologi Dan Molekuler</w:t>
      </w:r>
      <w:r w:rsidRPr="000153A7">
        <w:rPr>
          <w:rFonts w:ascii="Times New Roman" w:hAnsi="Times New Roman" w:cs="Times New Roman"/>
          <w:i/>
          <w:iCs/>
          <w:noProof/>
        </w:rPr>
        <w:t>.</w:t>
      </w:r>
      <w:r w:rsidRPr="00135DF9">
        <w:rPr>
          <w:rFonts w:ascii="Times New Roman" w:hAnsi="Times New Roman" w:cs="Times New Roman"/>
          <w:noProof/>
        </w:rPr>
        <w:t xml:space="preserve"> </w:t>
      </w:r>
      <w:r w:rsidRPr="00855859">
        <w:rPr>
          <w:rFonts w:ascii="Times New Roman" w:hAnsi="Times New Roman" w:cs="Times New Roman"/>
          <w:i/>
          <w:iCs/>
          <w:noProof/>
        </w:rPr>
        <w:t>Berita Biologi,</w:t>
      </w:r>
      <w:r w:rsidRPr="00135DF9">
        <w:rPr>
          <w:rFonts w:ascii="Times New Roman" w:hAnsi="Times New Roman" w:cs="Times New Roman"/>
          <w:noProof/>
        </w:rPr>
        <w:t xml:space="preserve"> 19(3B). </w:t>
      </w:r>
    </w:p>
    <w:p w14:paraId="1248ADBB" w14:textId="7777777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Triyanti, D. R. (2020). Outlook Kedelai 2020. Pusat Data Dan Sistem Informasi Pertanian Sekretariat Jenderal Kementerian Pertanian, 1–84.</w:t>
      </w:r>
    </w:p>
    <w:p w14:paraId="093D9A0E" w14:textId="58FCBB9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Valliyodan, B., Brown, A. V., Wang, J., Patil, G., Liu, Y., Otyama, P. I., Nelson, R. T., Vuong, T., Song, Q., Musket, T. A., Wagner, R., Marri, P., Reddy, S., Sessions, A., Wu, X., Grant, D., Bayer, P. E., Roorkiwal, M., Varshney, R. K.</w:t>
      </w:r>
      <w:r w:rsidR="00855859">
        <w:rPr>
          <w:rFonts w:ascii="Times New Roman" w:hAnsi="Times New Roman" w:cs="Times New Roman"/>
          <w:noProof/>
        </w:rPr>
        <w:t xml:space="preserve"> and</w:t>
      </w:r>
      <w:r w:rsidRPr="00135DF9">
        <w:rPr>
          <w:rFonts w:ascii="Times New Roman" w:hAnsi="Times New Roman" w:cs="Times New Roman"/>
          <w:noProof/>
        </w:rPr>
        <w:t xml:space="preserve"> Nguyen, H. T. (2021). </w:t>
      </w:r>
      <w:r w:rsidRPr="00855859">
        <w:rPr>
          <w:rFonts w:ascii="Times New Roman" w:hAnsi="Times New Roman" w:cs="Times New Roman"/>
          <w:noProof/>
        </w:rPr>
        <w:t>Genetic variation among 481 diverse soybean accessions, inferred from genomic re-sequencing.</w:t>
      </w:r>
      <w:r w:rsidRPr="00135DF9">
        <w:rPr>
          <w:rFonts w:ascii="Times New Roman" w:hAnsi="Times New Roman" w:cs="Times New Roman"/>
          <w:noProof/>
        </w:rPr>
        <w:t xml:space="preserve"> </w:t>
      </w:r>
      <w:r w:rsidRPr="00855859">
        <w:rPr>
          <w:rFonts w:ascii="Times New Roman" w:hAnsi="Times New Roman" w:cs="Times New Roman"/>
          <w:i/>
          <w:iCs/>
          <w:noProof/>
        </w:rPr>
        <w:t>Scientific Data</w:t>
      </w:r>
      <w:r w:rsidRPr="00135DF9">
        <w:rPr>
          <w:rFonts w:ascii="Times New Roman" w:hAnsi="Times New Roman" w:cs="Times New Roman"/>
          <w:noProof/>
        </w:rPr>
        <w:t xml:space="preserve">, 8(1), 1–9. </w:t>
      </w:r>
    </w:p>
    <w:p w14:paraId="1B4BCAA1" w14:textId="60A1D337" w:rsidR="00135DF9" w:rsidRPr="00135DF9" w:rsidRDefault="00135DF9" w:rsidP="00135DF9">
      <w:pPr>
        <w:widowControl w:val="0"/>
        <w:autoSpaceDE w:val="0"/>
        <w:autoSpaceDN w:val="0"/>
        <w:adjustRightInd w:val="0"/>
        <w:spacing w:after="0" w:line="240" w:lineRule="auto"/>
        <w:ind w:left="480" w:hanging="480"/>
        <w:jc w:val="both"/>
        <w:rPr>
          <w:rFonts w:ascii="Times New Roman" w:hAnsi="Times New Roman" w:cs="Times New Roman"/>
          <w:noProof/>
        </w:rPr>
      </w:pPr>
      <w:r w:rsidRPr="00135DF9">
        <w:rPr>
          <w:rFonts w:ascii="Times New Roman" w:hAnsi="Times New Roman" w:cs="Times New Roman"/>
          <w:noProof/>
        </w:rPr>
        <w:t xml:space="preserve">Vogel, J. T., Liu, W., Olhoft, P., Crafts-Brandner, S. J., Pennycooke, J. C. </w:t>
      </w:r>
      <w:r w:rsidR="00855859">
        <w:rPr>
          <w:rFonts w:ascii="Times New Roman" w:hAnsi="Times New Roman" w:cs="Times New Roman"/>
          <w:noProof/>
        </w:rPr>
        <w:t>and</w:t>
      </w:r>
      <w:r w:rsidRPr="00135DF9">
        <w:rPr>
          <w:rFonts w:ascii="Times New Roman" w:hAnsi="Times New Roman" w:cs="Times New Roman"/>
          <w:noProof/>
        </w:rPr>
        <w:t xml:space="preserve"> Christiansen, N. (2021). </w:t>
      </w:r>
      <w:r w:rsidRPr="00855859">
        <w:rPr>
          <w:rFonts w:ascii="Times New Roman" w:hAnsi="Times New Roman" w:cs="Times New Roman"/>
          <w:noProof/>
        </w:rPr>
        <w:t xml:space="preserve">Soybean Yield Formation Physiology – A Foundation for Precision Breeding Based Improvement. </w:t>
      </w:r>
      <w:r w:rsidRPr="00855859">
        <w:rPr>
          <w:rFonts w:ascii="Times New Roman" w:hAnsi="Times New Roman" w:cs="Times New Roman"/>
          <w:i/>
          <w:iCs/>
          <w:noProof/>
        </w:rPr>
        <w:t>Frontiers in Plant Science</w:t>
      </w:r>
      <w:r w:rsidRPr="00135DF9">
        <w:rPr>
          <w:rFonts w:ascii="Times New Roman" w:hAnsi="Times New Roman" w:cs="Times New Roman"/>
          <w:noProof/>
        </w:rPr>
        <w:t xml:space="preserve">, 12(November), 1–15. </w:t>
      </w:r>
    </w:p>
    <w:p w14:paraId="5E8DDF90" w14:textId="77777777" w:rsidR="002F61F2" w:rsidRPr="002D2D54" w:rsidRDefault="005061E1" w:rsidP="00135DF9">
      <w:pPr>
        <w:spacing w:after="0" w:line="240" w:lineRule="auto"/>
        <w:ind w:left="567" w:hanging="567"/>
        <w:jc w:val="both"/>
        <w:rPr>
          <w:rFonts w:ascii="Times New Roman" w:eastAsia="Book Antiqua" w:hAnsi="Times New Roman" w:cs="Times New Roman"/>
        </w:rPr>
        <w:sectPr w:rsidR="002F61F2" w:rsidRPr="002D2D54" w:rsidSect="00FF183A">
          <w:type w:val="continuous"/>
          <w:pgSz w:w="11907" w:h="16840"/>
          <w:pgMar w:top="1134" w:right="1134" w:bottom="1134" w:left="1418" w:header="907" w:footer="907" w:gutter="0"/>
          <w:cols w:space="288"/>
        </w:sectPr>
      </w:pPr>
      <w:r w:rsidRPr="00135DF9">
        <w:rPr>
          <w:rFonts w:ascii="Times New Roman" w:eastAsia="Book Antiqua" w:hAnsi="Times New Roman" w:cs="Times New Roman"/>
        </w:rPr>
        <w:fldChar w:fldCharType="end"/>
      </w:r>
    </w:p>
    <w:p w14:paraId="5E45B14B" w14:textId="77777777" w:rsidR="000D0834" w:rsidRPr="002D2D54" w:rsidRDefault="000D0834" w:rsidP="00855859">
      <w:pPr>
        <w:spacing w:after="0" w:line="240" w:lineRule="auto"/>
        <w:jc w:val="both"/>
        <w:rPr>
          <w:rFonts w:ascii="Times New Roman" w:eastAsia="Book Antiqua" w:hAnsi="Times New Roman" w:cs="Times New Roman"/>
        </w:rPr>
      </w:pPr>
    </w:p>
    <w:sectPr w:rsidR="000D0834" w:rsidRPr="002D2D54" w:rsidSect="00FF183A">
      <w:type w:val="continuous"/>
      <w:pgSz w:w="11907" w:h="16840"/>
      <w:pgMar w:top="1134" w:right="1134" w:bottom="1134" w:left="1418" w:header="907"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C12DE" w14:textId="77777777" w:rsidR="005B48FE" w:rsidRDefault="005B48FE">
      <w:pPr>
        <w:spacing w:after="0" w:line="240" w:lineRule="auto"/>
      </w:pPr>
      <w:r>
        <w:separator/>
      </w:r>
    </w:p>
  </w:endnote>
  <w:endnote w:type="continuationSeparator" w:id="0">
    <w:p w14:paraId="603DD24B" w14:textId="77777777" w:rsidR="005B48FE" w:rsidRDefault="005B4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4E4E69-22A7-4D9D-A22E-607B92277C2A}"/>
    <w:embedBold r:id="rId2" w:fontKey="{9EEADCAF-035B-496B-ACC7-1D2BB1B653E6}"/>
    <w:embedItalic r:id="rId3" w:fontKey="{22189650-40C6-42D7-AC56-C3E1B45BD851}"/>
  </w:font>
  <w:font w:name="Perpetua">
    <w:panose1 w:val="02020502060401020303"/>
    <w:charset w:val="00"/>
    <w:family w:val="roman"/>
    <w:pitch w:val="variable"/>
    <w:sig w:usb0="00000003" w:usb1="00000000" w:usb2="00000000" w:usb3="00000000" w:csb0="00000001" w:csb1="00000000"/>
    <w:embedRegular r:id="rId4" w:fontKey="{C322CD86-CDA4-4E0E-ABDD-29E99E80D4B9}"/>
    <w:embedBold r:id="rId5" w:fontKey="{EB54682D-F0CA-4F2E-8E80-473077A1BEAD}"/>
  </w:font>
  <w:font w:name="Cambria">
    <w:panose1 w:val="02040503050406030204"/>
    <w:charset w:val="00"/>
    <w:family w:val="roman"/>
    <w:pitch w:val="variable"/>
    <w:sig w:usb0="E00006FF" w:usb1="420024FF" w:usb2="02000000" w:usb3="00000000" w:csb0="0000019F" w:csb1="00000000"/>
    <w:embedRegular r:id="rId6" w:fontKey="{03A0A119-B0F6-47C5-A4F9-01214106090E}"/>
    <w:embedBold r:id="rId7" w:fontKey="{582507AE-28AB-4A0F-9C92-45E38F6E63F2}"/>
  </w:font>
  <w:font w:name="Tahoma">
    <w:panose1 w:val="020B0604030504040204"/>
    <w:charset w:val="00"/>
    <w:family w:val="swiss"/>
    <w:pitch w:val="variable"/>
    <w:sig w:usb0="E1002EFF" w:usb1="C000605B" w:usb2="00000029" w:usb3="00000000" w:csb0="000101FF" w:csb1="00000000"/>
    <w:embedRegular r:id="rId8" w:fontKey="{BCD7E799-DC83-44EF-9EFD-3A5E666C78D5}"/>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embedRegular r:id="rId9" w:fontKey="{E7220E67-73EF-44BA-A150-5C6684BA5AFC}"/>
    <w:embedBold r:id="rId10" w:fontKey="{7AD4B9BA-8100-4336-AA16-84D25DDAB592}"/>
    <w:embedItalic r:id="rId11" w:fontKey="{E80DEBF2-6F50-451A-B784-F749253F2A87}"/>
  </w:font>
  <w:font w:name="Minion Pro">
    <w:charset w:val="00"/>
    <w:family w:val="roman"/>
    <w:pitch w:val="default"/>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2" w:fontKey="{28348DE9-5660-4EE1-9B01-90D2AD5F37D8}"/>
    <w:embedItalic r:id="rId13" w:fontKey="{603CFEA0-C929-4DCF-9397-546C15D77C44}"/>
  </w:font>
  <w:font w:name="Book Antiqua">
    <w:panose1 w:val="02040602050305030304"/>
    <w:charset w:val="00"/>
    <w:family w:val="roman"/>
    <w:pitch w:val="variable"/>
    <w:sig w:usb0="00000287" w:usb1="00000000" w:usb2="00000000" w:usb3="00000000" w:csb0="0000009F" w:csb1="00000000"/>
    <w:embedRegular r:id="rId14" w:fontKey="{7542AF92-21DA-41A0-95A5-83ED95EEA72D}"/>
    <w:embedBold r:id="rId15" w:fontKey="{9C66B9C4-21EF-44BD-9988-0B6BD0EB5CE1}"/>
    <w:embedItalic r:id="rId16" w:fontKey="{6D094E09-6422-4274-A855-F915E7A93832}"/>
    <w:embedBoldItalic r:id="rId17" w:fontKey="{27655646-B34E-47BD-83A7-FA6DB349584F}"/>
  </w:font>
  <w:font w:name="Merriweather">
    <w:charset w:val="00"/>
    <w:family w:val="auto"/>
    <w:pitch w:val="variable"/>
    <w:sig w:usb0="20000207" w:usb1="00000002" w:usb2="00000000" w:usb3="00000000" w:csb0="00000197" w:csb1="00000000"/>
    <w:embedRegular r:id="rId18" w:fontKey="{EDA944A0-887B-42ED-B4FA-4A643287A85D}"/>
    <w:embedBold r:id="rId19" w:fontKey="{B5EB77CB-BDAA-4719-99C7-B67799D3AB8A}"/>
    <w:embedItalic r:id="rId20" w:fontKey="{A21B237F-53B8-4839-97B4-FAE5B88B3AE0}"/>
  </w:font>
  <w:font w:name="Cambria Math">
    <w:panose1 w:val="02040503050406030204"/>
    <w:charset w:val="00"/>
    <w:family w:val="roman"/>
    <w:pitch w:val="variable"/>
    <w:sig w:usb0="E00006FF" w:usb1="420024FF" w:usb2="02000000" w:usb3="00000000" w:csb0="0000019F" w:csb1="00000000"/>
    <w:embedItalic r:id="rId21" w:fontKey="{DF1F25D0-22BE-434D-ADB2-341EDA448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9A2" w14:textId="77777777" w:rsidR="0090018E" w:rsidRDefault="0090018E">
    <w:pPr>
      <w:spacing w:after="0" w:line="240" w:lineRule="auto"/>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89BC" w14:textId="77777777" w:rsidR="0090018E" w:rsidRDefault="0090018E">
    <w:pPr>
      <w:spacing w:after="0" w:line="240" w:lineRule="auto"/>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4EB6" w14:textId="4E4E8F45" w:rsidR="0090018E" w:rsidRDefault="0090018E">
    <w:pPr>
      <w:spacing w:after="0" w:line="240" w:lineRule="auto"/>
      <w:jc w:val="right"/>
      <w:rPr>
        <w:rFonts w:ascii="Book Antiqua" w:eastAsia="Book Antiqua" w:hAnsi="Book Antiqua" w:cs="Book Antiqu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51839" w14:textId="77777777" w:rsidR="005B48FE" w:rsidRDefault="005B48FE">
      <w:pPr>
        <w:spacing w:after="0" w:line="240" w:lineRule="auto"/>
      </w:pPr>
      <w:r>
        <w:separator/>
      </w:r>
    </w:p>
  </w:footnote>
  <w:footnote w:type="continuationSeparator" w:id="0">
    <w:p w14:paraId="1592C8E3" w14:textId="77777777" w:rsidR="005B48FE" w:rsidRDefault="005B4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A4A0" w14:textId="77777777" w:rsidR="0090018E" w:rsidRDefault="0090018E">
    <w:pPr>
      <w:pBdr>
        <w:top w:val="nil"/>
        <w:left w:val="nil"/>
        <w:bottom w:val="nil"/>
        <w:right w:val="nil"/>
        <w:between w:val="nil"/>
      </w:pBdr>
      <w:tabs>
        <w:tab w:val="center" w:pos="4513"/>
        <w:tab w:val="right" w:pos="9026"/>
        <w:tab w:val="right" w:pos="9072"/>
      </w:tabs>
      <w:spacing w:after="0" w:line="240" w:lineRule="auto"/>
      <w:rPr>
        <w:rFonts w:ascii="Book Antiqua" w:eastAsia="Book Antiqua" w:hAnsi="Book Antiqua" w:cs="Book Antiqu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8D22" w14:textId="77777777" w:rsidR="0090018E" w:rsidRDefault="0090018E">
    <w:pPr>
      <w:pBdr>
        <w:top w:val="nil"/>
        <w:left w:val="nil"/>
        <w:bottom w:val="nil"/>
        <w:right w:val="nil"/>
        <w:between w:val="nil"/>
      </w:pBdr>
      <w:tabs>
        <w:tab w:val="center" w:pos="4513"/>
        <w:tab w:val="right" w:pos="9026"/>
        <w:tab w:val="right" w:pos="9072"/>
      </w:tabs>
      <w:spacing w:after="0" w:line="240" w:lineRule="auto"/>
      <w:rPr>
        <w:rFonts w:ascii="Book Antiqua" w:eastAsia="Book Antiqua" w:hAnsi="Book Antiqua" w:cs="Book Antiqu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CA3"/>
    <w:multiLevelType w:val="multilevel"/>
    <w:tmpl w:val="9FEA5986"/>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9774E7"/>
    <w:multiLevelType w:val="multilevel"/>
    <w:tmpl w:val="0DC8085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0880E94"/>
    <w:multiLevelType w:val="multilevel"/>
    <w:tmpl w:val="08448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745B7D"/>
    <w:multiLevelType w:val="multilevel"/>
    <w:tmpl w:val="BBB8F3C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C24E45"/>
    <w:multiLevelType w:val="multilevel"/>
    <w:tmpl w:val="ECC861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EE7226"/>
    <w:multiLevelType w:val="multilevel"/>
    <w:tmpl w:val="FCDAE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2348435">
    <w:abstractNumId w:val="2"/>
  </w:num>
  <w:num w:numId="2" w16cid:durableId="1623655257">
    <w:abstractNumId w:val="5"/>
  </w:num>
  <w:num w:numId="3" w16cid:durableId="1165168877">
    <w:abstractNumId w:val="4"/>
  </w:num>
  <w:num w:numId="4" w16cid:durableId="1946182303">
    <w:abstractNumId w:val="1"/>
  </w:num>
  <w:num w:numId="5" w16cid:durableId="1348172003">
    <w:abstractNumId w:val="3"/>
  </w:num>
  <w:num w:numId="6" w16cid:durableId="2048026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18E"/>
    <w:rsid w:val="000132AB"/>
    <w:rsid w:val="000153A7"/>
    <w:rsid w:val="000329B8"/>
    <w:rsid w:val="00041260"/>
    <w:rsid w:val="00047349"/>
    <w:rsid w:val="0005152E"/>
    <w:rsid w:val="00060CA7"/>
    <w:rsid w:val="00090551"/>
    <w:rsid w:val="000929AD"/>
    <w:rsid w:val="000B07E6"/>
    <w:rsid w:val="000C7A86"/>
    <w:rsid w:val="000D0834"/>
    <w:rsid w:val="000E67DC"/>
    <w:rsid w:val="000F12B7"/>
    <w:rsid w:val="0010098B"/>
    <w:rsid w:val="00101A2B"/>
    <w:rsid w:val="00106639"/>
    <w:rsid w:val="001074FD"/>
    <w:rsid w:val="0012556D"/>
    <w:rsid w:val="0013511F"/>
    <w:rsid w:val="00135380"/>
    <w:rsid w:val="00135DF9"/>
    <w:rsid w:val="00136E73"/>
    <w:rsid w:val="00161560"/>
    <w:rsid w:val="00181AB5"/>
    <w:rsid w:val="00194D01"/>
    <w:rsid w:val="001966B0"/>
    <w:rsid w:val="001A111F"/>
    <w:rsid w:val="001A19FE"/>
    <w:rsid w:val="001A1CEA"/>
    <w:rsid w:val="001A3F8B"/>
    <w:rsid w:val="001A6141"/>
    <w:rsid w:val="001B03BF"/>
    <w:rsid w:val="001C3CEB"/>
    <w:rsid w:val="001E23D7"/>
    <w:rsid w:val="001E6F2B"/>
    <w:rsid w:val="001F29F5"/>
    <w:rsid w:val="002145B4"/>
    <w:rsid w:val="00214D2E"/>
    <w:rsid w:val="00223CC4"/>
    <w:rsid w:val="002302A0"/>
    <w:rsid w:val="00237ECF"/>
    <w:rsid w:val="002638DB"/>
    <w:rsid w:val="00265B6F"/>
    <w:rsid w:val="00273C11"/>
    <w:rsid w:val="002744C6"/>
    <w:rsid w:val="00280477"/>
    <w:rsid w:val="002D2D54"/>
    <w:rsid w:val="002D368F"/>
    <w:rsid w:val="002D6D42"/>
    <w:rsid w:val="002E463E"/>
    <w:rsid w:val="002F61F2"/>
    <w:rsid w:val="0030098E"/>
    <w:rsid w:val="00303572"/>
    <w:rsid w:val="00307D19"/>
    <w:rsid w:val="003139CF"/>
    <w:rsid w:val="00334891"/>
    <w:rsid w:val="00347226"/>
    <w:rsid w:val="00347D54"/>
    <w:rsid w:val="00350694"/>
    <w:rsid w:val="00350F51"/>
    <w:rsid w:val="0035430C"/>
    <w:rsid w:val="00370751"/>
    <w:rsid w:val="003A4741"/>
    <w:rsid w:val="003C2DDD"/>
    <w:rsid w:val="003C39EF"/>
    <w:rsid w:val="003D375B"/>
    <w:rsid w:val="00417D28"/>
    <w:rsid w:val="0042708E"/>
    <w:rsid w:val="004302DC"/>
    <w:rsid w:val="00451B4E"/>
    <w:rsid w:val="00460339"/>
    <w:rsid w:val="00474587"/>
    <w:rsid w:val="00492C55"/>
    <w:rsid w:val="004A2CB8"/>
    <w:rsid w:val="004C05E8"/>
    <w:rsid w:val="004C7224"/>
    <w:rsid w:val="004E5712"/>
    <w:rsid w:val="00504B39"/>
    <w:rsid w:val="005061E1"/>
    <w:rsid w:val="0051188F"/>
    <w:rsid w:val="00537D61"/>
    <w:rsid w:val="005537CB"/>
    <w:rsid w:val="005762DA"/>
    <w:rsid w:val="005873A9"/>
    <w:rsid w:val="005913D5"/>
    <w:rsid w:val="005B48FE"/>
    <w:rsid w:val="005C41E0"/>
    <w:rsid w:val="005D4E61"/>
    <w:rsid w:val="005E5D4E"/>
    <w:rsid w:val="005E6F50"/>
    <w:rsid w:val="005F357E"/>
    <w:rsid w:val="00623D33"/>
    <w:rsid w:val="00625983"/>
    <w:rsid w:val="006353D9"/>
    <w:rsid w:val="006437C3"/>
    <w:rsid w:val="00656706"/>
    <w:rsid w:val="00674F67"/>
    <w:rsid w:val="00677C73"/>
    <w:rsid w:val="006B6131"/>
    <w:rsid w:val="006F488B"/>
    <w:rsid w:val="007324DA"/>
    <w:rsid w:val="007638D5"/>
    <w:rsid w:val="007644E9"/>
    <w:rsid w:val="00766E9F"/>
    <w:rsid w:val="00777842"/>
    <w:rsid w:val="00785E3A"/>
    <w:rsid w:val="00786F39"/>
    <w:rsid w:val="007948A2"/>
    <w:rsid w:val="00795651"/>
    <w:rsid w:val="007A61D9"/>
    <w:rsid w:val="007B1E4E"/>
    <w:rsid w:val="007D230A"/>
    <w:rsid w:val="007D44BA"/>
    <w:rsid w:val="007E3AF8"/>
    <w:rsid w:val="007E6C3D"/>
    <w:rsid w:val="0080075D"/>
    <w:rsid w:val="00825A1F"/>
    <w:rsid w:val="00850E49"/>
    <w:rsid w:val="00853C90"/>
    <w:rsid w:val="00855859"/>
    <w:rsid w:val="0087534C"/>
    <w:rsid w:val="008829D6"/>
    <w:rsid w:val="00887E09"/>
    <w:rsid w:val="00895F32"/>
    <w:rsid w:val="008A11C8"/>
    <w:rsid w:val="008A420B"/>
    <w:rsid w:val="008B27DB"/>
    <w:rsid w:val="008B692C"/>
    <w:rsid w:val="008C1B03"/>
    <w:rsid w:val="008D063A"/>
    <w:rsid w:val="008D5C08"/>
    <w:rsid w:val="008D5CC6"/>
    <w:rsid w:val="008E0D1C"/>
    <w:rsid w:val="008E2EB3"/>
    <w:rsid w:val="008E4DA2"/>
    <w:rsid w:val="008F69F9"/>
    <w:rsid w:val="0090018E"/>
    <w:rsid w:val="009548D4"/>
    <w:rsid w:val="00966436"/>
    <w:rsid w:val="00967BE4"/>
    <w:rsid w:val="00971A62"/>
    <w:rsid w:val="009721AB"/>
    <w:rsid w:val="009B0021"/>
    <w:rsid w:val="009B1FB8"/>
    <w:rsid w:val="009E2672"/>
    <w:rsid w:val="00A01D1A"/>
    <w:rsid w:val="00A10EB2"/>
    <w:rsid w:val="00A44CC3"/>
    <w:rsid w:val="00A5013F"/>
    <w:rsid w:val="00A61830"/>
    <w:rsid w:val="00A64214"/>
    <w:rsid w:val="00A66F74"/>
    <w:rsid w:val="00AB5AAF"/>
    <w:rsid w:val="00AC37A0"/>
    <w:rsid w:val="00AC54B3"/>
    <w:rsid w:val="00AE6F77"/>
    <w:rsid w:val="00AF62AD"/>
    <w:rsid w:val="00B002CF"/>
    <w:rsid w:val="00B10031"/>
    <w:rsid w:val="00B172DF"/>
    <w:rsid w:val="00B20F5E"/>
    <w:rsid w:val="00B43248"/>
    <w:rsid w:val="00B53F54"/>
    <w:rsid w:val="00B7021B"/>
    <w:rsid w:val="00B719B6"/>
    <w:rsid w:val="00B77932"/>
    <w:rsid w:val="00B87645"/>
    <w:rsid w:val="00B96EE4"/>
    <w:rsid w:val="00BA0F4A"/>
    <w:rsid w:val="00BB296E"/>
    <w:rsid w:val="00BC716D"/>
    <w:rsid w:val="00BD1150"/>
    <w:rsid w:val="00BE4C7E"/>
    <w:rsid w:val="00BF08F7"/>
    <w:rsid w:val="00C03187"/>
    <w:rsid w:val="00C316E9"/>
    <w:rsid w:val="00C415BF"/>
    <w:rsid w:val="00C519B6"/>
    <w:rsid w:val="00C5304E"/>
    <w:rsid w:val="00CC66AB"/>
    <w:rsid w:val="00CE10CC"/>
    <w:rsid w:val="00CE13EC"/>
    <w:rsid w:val="00CE7475"/>
    <w:rsid w:val="00CF36D6"/>
    <w:rsid w:val="00D01F10"/>
    <w:rsid w:val="00D13E9B"/>
    <w:rsid w:val="00D16E24"/>
    <w:rsid w:val="00D31C4D"/>
    <w:rsid w:val="00D3230E"/>
    <w:rsid w:val="00D3494E"/>
    <w:rsid w:val="00D35615"/>
    <w:rsid w:val="00D4094E"/>
    <w:rsid w:val="00D45ABF"/>
    <w:rsid w:val="00D5641E"/>
    <w:rsid w:val="00D676BE"/>
    <w:rsid w:val="00D73300"/>
    <w:rsid w:val="00D80A5B"/>
    <w:rsid w:val="00D83748"/>
    <w:rsid w:val="00D84FC1"/>
    <w:rsid w:val="00D9692A"/>
    <w:rsid w:val="00DB3332"/>
    <w:rsid w:val="00DB3A54"/>
    <w:rsid w:val="00DD58C4"/>
    <w:rsid w:val="00DF13FA"/>
    <w:rsid w:val="00E15BDA"/>
    <w:rsid w:val="00E255B1"/>
    <w:rsid w:val="00E76417"/>
    <w:rsid w:val="00E77FA8"/>
    <w:rsid w:val="00E81572"/>
    <w:rsid w:val="00E91B4C"/>
    <w:rsid w:val="00EA301C"/>
    <w:rsid w:val="00EB1A62"/>
    <w:rsid w:val="00EC5C1D"/>
    <w:rsid w:val="00EE168D"/>
    <w:rsid w:val="00EE1D2C"/>
    <w:rsid w:val="00F22072"/>
    <w:rsid w:val="00F338B0"/>
    <w:rsid w:val="00F3660F"/>
    <w:rsid w:val="00F661AD"/>
    <w:rsid w:val="00F6630F"/>
    <w:rsid w:val="00F67055"/>
    <w:rsid w:val="00FA62AB"/>
    <w:rsid w:val="00FB2AF4"/>
    <w:rsid w:val="00FB5319"/>
    <w:rsid w:val="00FB61E4"/>
    <w:rsid w:val="00FE3230"/>
    <w:rsid w:val="00FE6D04"/>
    <w:rsid w:val="00FF0296"/>
    <w:rsid w:val="00FF18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3B66"/>
  <w15:docId w15:val="{A099D43E-A657-43D3-9687-6A6AECA5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A0"/>
  </w:style>
  <w:style w:type="paragraph" w:styleId="Heading1">
    <w:name w:val="heading 1"/>
    <w:basedOn w:val="Normal"/>
    <w:link w:val="Heading1Char"/>
    <w:uiPriority w:val="9"/>
    <w:qFormat/>
    <w:rsid w:val="00F04D02"/>
    <w:pPr>
      <w:widowControl w:val="0"/>
      <w:spacing w:after="0" w:line="240" w:lineRule="auto"/>
      <w:ind w:left="20"/>
      <w:outlineLvl w:val="0"/>
    </w:pPr>
    <w:rPr>
      <w:rFonts w:ascii="Perpetua" w:eastAsia="Perpetua" w:hAnsi="Perpetua" w:cs="Perpetua"/>
      <w:b/>
      <w:bCs/>
      <w:sz w:val="24"/>
      <w:szCs w:val="24"/>
    </w:rPr>
  </w:style>
  <w:style w:type="paragraph" w:styleId="Heading2">
    <w:name w:val="heading 2"/>
    <w:basedOn w:val="Normal"/>
    <w:next w:val="Normal"/>
    <w:link w:val="Heading2Char"/>
    <w:uiPriority w:val="9"/>
    <w:semiHidden/>
    <w:unhideWhenUsed/>
    <w:qFormat/>
    <w:rsid w:val="00F04D02"/>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F04D02"/>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F575F"/>
    <w:pPr>
      <w:tabs>
        <w:tab w:val="num" w:pos="768"/>
      </w:tabs>
      <w:spacing w:after="0" w:line="480" w:lineRule="auto"/>
      <w:ind w:left="768" w:hanging="720"/>
      <w:jc w:val="center"/>
    </w:pPr>
    <w:rPr>
      <w:rFonts w:ascii="Times New Roman" w:eastAsia="Times New Roman" w:hAnsi="Times New Roman" w:cs="Times New Roman"/>
      <w:b/>
      <w:sz w:val="24"/>
      <w:szCs w:val="20"/>
    </w:rPr>
  </w:style>
  <w:style w:type="character" w:customStyle="1" w:styleId="Heading1Char">
    <w:name w:val="Heading 1 Char"/>
    <w:basedOn w:val="DefaultParagraphFont"/>
    <w:link w:val="Heading1"/>
    <w:uiPriority w:val="9"/>
    <w:rsid w:val="00F04D02"/>
    <w:rPr>
      <w:rFonts w:ascii="Perpetua" w:eastAsia="Perpetua" w:hAnsi="Perpetua" w:cs="Perpetua"/>
      <w:b/>
      <w:bCs/>
      <w:sz w:val="24"/>
      <w:szCs w:val="24"/>
    </w:rPr>
  </w:style>
  <w:style w:type="character" w:customStyle="1" w:styleId="Heading2Char">
    <w:name w:val="Heading 2 Char"/>
    <w:basedOn w:val="DefaultParagraphFont"/>
    <w:link w:val="Heading2"/>
    <w:uiPriority w:val="9"/>
    <w:rsid w:val="00F04D0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04D02"/>
    <w:rPr>
      <w:rFonts w:ascii="Cambria" w:eastAsia="Times New Roman" w:hAnsi="Cambria" w:cs="Times New Roman"/>
      <w:b/>
      <w:bCs/>
      <w:color w:val="4F81BD"/>
      <w:sz w:val="20"/>
      <w:szCs w:val="20"/>
    </w:rPr>
  </w:style>
  <w:style w:type="paragraph" w:styleId="Header">
    <w:name w:val="header"/>
    <w:basedOn w:val="Normal"/>
    <w:link w:val="HeaderChar"/>
    <w:uiPriority w:val="99"/>
    <w:unhideWhenUsed/>
    <w:rsid w:val="00F04D02"/>
    <w:pPr>
      <w:tabs>
        <w:tab w:val="center" w:pos="4513"/>
        <w:tab w:val="right" w:pos="9026"/>
      </w:tabs>
      <w:spacing w:after="0" w:line="240" w:lineRule="auto"/>
    </w:pPr>
    <w:rPr>
      <w:rFonts w:eastAsiaTheme="minorEastAsia"/>
      <w:lang w:val="id-ID" w:eastAsia="id-ID"/>
    </w:rPr>
  </w:style>
  <w:style w:type="character" w:customStyle="1" w:styleId="HeaderChar">
    <w:name w:val="Header Char"/>
    <w:basedOn w:val="DefaultParagraphFont"/>
    <w:link w:val="Header"/>
    <w:uiPriority w:val="99"/>
    <w:rsid w:val="00F04D02"/>
    <w:rPr>
      <w:rFonts w:eastAsiaTheme="minorEastAsia"/>
      <w:lang w:val="id-ID" w:eastAsia="id-ID"/>
    </w:rPr>
  </w:style>
  <w:style w:type="paragraph" w:styleId="Footer">
    <w:name w:val="footer"/>
    <w:basedOn w:val="Normal"/>
    <w:link w:val="FooterChar"/>
    <w:uiPriority w:val="99"/>
    <w:unhideWhenUsed/>
    <w:rsid w:val="00F04D02"/>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F04D02"/>
    <w:rPr>
      <w:rFonts w:eastAsiaTheme="minorEastAsia"/>
      <w:lang w:val="id-ID" w:eastAsia="id-ID"/>
    </w:rPr>
  </w:style>
  <w:style w:type="paragraph" w:styleId="BalloonText">
    <w:name w:val="Balloon Text"/>
    <w:basedOn w:val="Normal"/>
    <w:link w:val="BalloonTextChar"/>
    <w:uiPriority w:val="99"/>
    <w:semiHidden/>
    <w:unhideWhenUsed/>
    <w:rsid w:val="00F04D02"/>
    <w:pPr>
      <w:spacing w:after="0" w:line="240" w:lineRule="auto"/>
    </w:pPr>
    <w:rPr>
      <w:rFonts w:ascii="Tahoma" w:eastAsiaTheme="minorEastAsia" w:hAnsi="Tahoma" w:cs="Tahoma"/>
      <w:sz w:val="16"/>
      <w:szCs w:val="16"/>
      <w:lang w:val="id-ID" w:eastAsia="id-ID"/>
    </w:rPr>
  </w:style>
  <w:style w:type="character" w:customStyle="1" w:styleId="BalloonTextChar">
    <w:name w:val="Balloon Text Char"/>
    <w:basedOn w:val="DefaultParagraphFont"/>
    <w:link w:val="BalloonText"/>
    <w:uiPriority w:val="99"/>
    <w:semiHidden/>
    <w:rsid w:val="00F04D02"/>
    <w:rPr>
      <w:rFonts w:ascii="Tahoma" w:eastAsiaTheme="minorEastAsia" w:hAnsi="Tahoma" w:cs="Tahoma"/>
      <w:sz w:val="16"/>
      <w:szCs w:val="16"/>
      <w:lang w:val="id-ID" w:eastAsia="id-ID"/>
    </w:rPr>
  </w:style>
  <w:style w:type="paragraph" w:styleId="NoSpacing">
    <w:name w:val="No Spacing"/>
    <w:link w:val="NoSpacingChar"/>
    <w:uiPriority w:val="1"/>
    <w:qFormat/>
    <w:rsid w:val="00F04D02"/>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rsid w:val="00F04D02"/>
    <w:rPr>
      <w:rFonts w:eastAsiaTheme="minorEastAsia"/>
      <w:lang w:eastAsia="id-ID"/>
    </w:rPr>
  </w:style>
  <w:style w:type="paragraph" w:styleId="ListParagraph">
    <w:name w:val="List Paragraph"/>
    <w:aliases w:val="list nomor"/>
    <w:basedOn w:val="Normal"/>
    <w:link w:val="ListParagraphChar"/>
    <w:uiPriority w:val="34"/>
    <w:qFormat/>
    <w:rsid w:val="00F04D02"/>
    <w:pPr>
      <w:ind w:left="720"/>
      <w:contextualSpacing/>
    </w:pPr>
    <w:rPr>
      <w:rFonts w:eastAsiaTheme="minorEastAsia"/>
      <w:lang w:val="id-ID" w:eastAsia="id-ID"/>
    </w:rPr>
  </w:style>
  <w:style w:type="character" w:customStyle="1" w:styleId="ListParagraphChar">
    <w:name w:val="List Paragraph Char"/>
    <w:aliases w:val="list nomor Char"/>
    <w:link w:val="ListParagraph"/>
    <w:uiPriority w:val="34"/>
    <w:rsid w:val="00F04D02"/>
    <w:rPr>
      <w:rFonts w:eastAsiaTheme="minorEastAsia"/>
      <w:lang w:val="id-ID" w:eastAsia="id-ID"/>
    </w:rPr>
  </w:style>
  <w:style w:type="table" w:styleId="TableGrid">
    <w:name w:val="Table Grid"/>
    <w:basedOn w:val="TableNormal"/>
    <w:uiPriority w:val="39"/>
    <w:qFormat/>
    <w:rsid w:val="00F04D02"/>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
    <w:name w:val="highlight"/>
    <w:basedOn w:val="DefaultParagraphFont"/>
    <w:rsid w:val="00F04D02"/>
  </w:style>
  <w:style w:type="paragraph" w:customStyle="1" w:styleId="Default">
    <w:name w:val="Default"/>
    <w:rsid w:val="00F04D02"/>
    <w:pPr>
      <w:autoSpaceDE w:val="0"/>
      <w:autoSpaceDN w:val="0"/>
      <w:adjustRightInd w:val="0"/>
      <w:spacing w:after="0" w:line="240" w:lineRule="auto"/>
    </w:pPr>
    <w:rPr>
      <w:rFonts w:ascii="Arial" w:eastAsiaTheme="minorEastAsia" w:hAnsi="Arial" w:cs="Arial"/>
      <w:color w:val="000000"/>
      <w:sz w:val="24"/>
      <w:szCs w:val="24"/>
      <w:lang w:val="id-ID" w:eastAsia="id-ID"/>
    </w:rPr>
  </w:style>
  <w:style w:type="character" w:customStyle="1" w:styleId="hps">
    <w:name w:val="hps"/>
    <w:basedOn w:val="DefaultParagraphFont"/>
    <w:rsid w:val="00F04D02"/>
  </w:style>
  <w:style w:type="character" w:styleId="Hyperlink">
    <w:name w:val="Hyperlink"/>
    <w:basedOn w:val="DefaultParagraphFont"/>
    <w:uiPriority w:val="99"/>
    <w:unhideWhenUsed/>
    <w:rsid w:val="00F04D02"/>
    <w:rPr>
      <w:color w:val="0000FF" w:themeColor="hyperlink"/>
      <w:u w:val="single"/>
    </w:rPr>
  </w:style>
  <w:style w:type="character" w:styleId="CommentReference">
    <w:name w:val="annotation reference"/>
    <w:basedOn w:val="DefaultParagraphFont"/>
    <w:uiPriority w:val="99"/>
    <w:semiHidden/>
    <w:unhideWhenUsed/>
    <w:rsid w:val="00F04D02"/>
    <w:rPr>
      <w:sz w:val="16"/>
      <w:szCs w:val="16"/>
    </w:rPr>
  </w:style>
  <w:style w:type="paragraph" w:styleId="CommentText">
    <w:name w:val="annotation text"/>
    <w:basedOn w:val="Normal"/>
    <w:link w:val="CommentTextChar"/>
    <w:uiPriority w:val="99"/>
    <w:unhideWhenUsed/>
    <w:rsid w:val="00F04D02"/>
    <w:pPr>
      <w:spacing w:line="240" w:lineRule="auto"/>
    </w:pPr>
    <w:rPr>
      <w:rFonts w:eastAsiaTheme="minorEastAsia"/>
      <w:sz w:val="20"/>
      <w:szCs w:val="20"/>
      <w:lang w:val="id-ID" w:eastAsia="id-ID"/>
    </w:rPr>
  </w:style>
  <w:style w:type="character" w:customStyle="1" w:styleId="CommentTextChar">
    <w:name w:val="Comment Text Char"/>
    <w:basedOn w:val="DefaultParagraphFont"/>
    <w:link w:val="CommentText"/>
    <w:uiPriority w:val="99"/>
    <w:rsid w:val="00F04D02"/>
    <w:rPr>
      <w:rFonts w:eastAsiaTheme="minorEastAsia"/>
      <w:sz w:val="20"/>
      <w:szCs w:val="20"/>
      <w:lang w:val="id-ID" w:eastAsia="id-ID"/>
    </w:rPr>
  </w:style>
  <w:style w:type="paragraph" w:styleId="CommentSubject">
    <w:name w:val="annotation subject"/>
    <w:basedOn w:val="CommentText"/>
    <w:next w:val="CommentText"/>
    <w:link w:val="CommentSubjectChar"/>
    <w:uiPriority w:val="99"/>
    <w:semiHidden/>
    <w:unhideWhenUsed/>
    <w:rsid w:val="00F04D02"/>
    <w:rPr>
      <w:b/>
      <w:bCs/>
    </w:rPr>
  </w:style>
  <w:style w:type="character" w:customStyle="1" w:styleId="CommentSubjectChar">
    <w:name w:val="Comment Subject Char"/>
    <w:basedOn w:val="CommentTextChar"/>
    <w:link w:val="CommentSubject"/>
    <w:uiPriority w:val="99"/>
    <w:semiHidden/>
    <w:rsid w:val="00F04D02"/>
    <w:rPr>
      <w:rFonts w:eastAsiaTheme="minorEastAsia"/>
      <w:b/>
      <w:bCs/>
      <w:sz w:val="20"/>
      <w:szCs w:val="20"/>
      <w:lang w:val="id-ID" w:eastAsia="id-ID"/>
    </w:rPr>
  </w:style>
  <w:style w:type="paragraph" w:styleId="BodyText">
    <w:name w:val="Body Text"/>
    <w:basedOn w:val="Normal"/>
    <w:link w:val="BodyTextChar"/>
    <w:uiPriority w:val="1"/>
    <w:qFormat/>
    <w:rsid w:val="00F04D02"/>
    <w:pPr>
      <w:widowControl w:val="0"/>
      <w:spacing w:after="0" w:line="240" w:lineRule="auto"/>
    </w:pPr>
    <w:rPr>
      <w:rFonts w:ascii="Perpetua" w:eastAsia="Perpetua" w:hAnsi="Perpetua" w:cs="Perpetua"/>
      <w:sz w:val="24"/>
      <w:szCs w:val="24"/>
    </w:rPr>
  </w:style>
  <w:style w:type="character" w:customStyle="1" w:styleId="BodyTextChar">
    <w:name w:val="Body Text Char"/>
    <w:basedOn w:val="DefaultParagraphFont"/>
    <w:link w:val="BodyText"/>
    <w:uiPriority w:val="1"/>
    <w:rsid w:val="00F04D02"/>
    <w:rPr>
      <w:rFonts w:ascii="Perpetua" w:eastAsia="Perpetua" w:hAnsi="Perpetua" w:cs="Perpetua"/>
      <w:sz w:val="24"/>
      <w:szCs w:val="24"/>
    </w:rPr>
  </w:style>
  <w:style w:type="character" w:styleId="FootnoteReference">
    <w:name w:val="footnote reference"/>
    <w:basedOn w:val="DefaultParagraphFont"/>
    <w:uiPriority w:val="99"/>
    <w:semiHidden/>
    <w:unhideWhenUsed/>
    <w:rsid w:val="00F04D02"/>
    <w:rPr>
      <w:vertAlign w:val="superscript"/>
    </w:rPr>
  </w:style>
  <w:style w:type="character" w:styleId="Emphasis">
    <w:name w:val="Emphasis"/>
    <w:uiPriority w:val="20"/>
    <w:qFormat/>
    <w:rsid w:val="00F04D02"/>
    <w:rPr>
      <w:i/>
      <w:iCs/>
    </w:rPr>
  </w:style>
  <w:style w:type="character" w:customStyle="1" w:styleId="binomial">
    <w:name w:val="binomial"/>
    <w:basedOn w:val="DefaultParagraphFont"/>
    <w:uiPriority w:val="99"/>
    <w:rsid w:val="00F04D02"/>
  </w:style>
  <w:style w:type="paragraph" w:customStyle="1" w:styleId="DaftarPustaka">
    <w:name w:val="Daftar Pustaka"/>
    <w:basedOn w:val="Normal"/>
    <w:link w:val="DaftarPustakaChar"/>
    <w:qFormat/>
    <w:rsid w:val="00F04D02"/>
    <w:pPr>
      <w:spacing w:after="0" w:line="240" w:lineRule="auto"/>
      <w:ind w:left="284" w:hanging="284"/>
      <w:jc w:val="both"/>
    </w:pPr>
    <w:rPr>
      <w:rFonts w:ascii="Times New Roman" w:eastAsia="Times New Roman" w:hAnsi="Times New Roman" w:cs="Times New Roman"/>
      <w:sz w:val="24"/>
      <w:szCs w:val="24"/>
      <w:lang w:eastAsia="ja-JP"/>
    </w:rPr>
  </w:style>
  <w:style w:type="character" w:customStyle="1" w:styleId="DaftarPustakaChar">
    <w:name w:val="Daftar Pustaka Char"/>
    <w:link w:val="DaftarPustaka"/>
    <w:rsid w:val="00F04D02"/>
    <w:rPr>
      <w:rFonts w:ascii="Times New Roman" w:eastAsia="Times New Roman" w:hAnsi="Times New Roman" w:cs="Times New Roman"/>
      <w:sz w:val="24"/>
      <w:szCs w:val="24"/>
      <w:lang w:eastAsia="ja-JP"/>
    </w:rPr>
  </w:style>
  <w:style w:type="paragraph" w:styleId="TOCHeading">
    <w:name w:val="TOC Heading"/>
    <w:basedOn w:val="Heading1"/>
    <w:next w:val="Normal"/>
    <w:uiPriority w:val="39"/>
    <w:semiHidden/>
    <w:unhideWhenUsed/>
    <w:qFormat/>
    <w:rsid w:val="00F04D02"/>
    <w:pPr>
      <w:keepNext/>
      <w:keepLines/>
      <w:widowControl/>
      <w:spacing w:before="480" w:line="276" w:lineRule="auto"/>
      <w:ind w:left="0"/>
      <w:outlineLvl w:val="9"/>
    </w:pPr>
    <w:rPr>
      <w:rFonts w:ascii="Cambria" w:eastAsia="Times New Roman" w:hAnsi="Cambria" w:cs="Times New Roman"/>
      <w:color w:val="365F91"/>
      <w:sz w:val="28"/>
      <w:szCs w:val="28"/>
      <w:lang w:eastAsia="ja-JP"/>
    </w:rPr>
  </w:style>
  <w:style w:type="character" w:customStyle="1" w:styleId="a">
    <w:name w:val="a"/>
    <w:basedOn w:val="DefaultParagraphFont"/>
    <w:rsid w:val="00F04D02"/>
  </w:style>
  <w:style w:type="character" w:customStyle="1" w:styleId="l6">
    <w:name w:val="l6"/>
    <w:basedOn w:val="DefaultParagraphFont"/>
    <w:rsid w:val="00F04D02"/>
  </w:style>
  <w:style w:type="paragraph" w:customStyle="1" w:styleId="BasicParagraph">
    <w:name w:val="[Basic Paragraph]"/>
    <w:basedOn w:val="Normal"/>
    <w:uiPriority w:val="99"/>
    <w:rsid w:val="00F04D02"/>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Judul">
    <w:name w:val="Judul"/>
    <w:basedOn w:val="Normal"/>
    <w:uiPriority w:val="99"/>
    <w:rsid w:val="00F04D02"/>
    <w:pPr>
      <w:autoSpaceDE w:val="0"/>
      <w:autoSpaceDN w:val="0"/>
      <w:adjustRightInd w:val="0"/>
      <w:spacing w:after="0" w:line="288" w:lineRule="auto"/>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F04D02"/>
    <w:pPr>
      <w:autoSpaceDE w:val="0"/>
      <w:autoSpaceDN w:val="0"/>
      <w:adjustRightInd w:val="0"/>
      <w:spacing w:after="0" w:line="288" w:lineRule="auto"/>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F04D02"/>
    <w:pPr>
      <w:autoSpaceDE w:val="0"/>
      <w:autoSpaceDN w:val="0"/>
      <w:adjustRightInd w:val="0"/>
      <w:spacing w:after="0" w:line="288" w:lineRule="auto"/>
      <w:jc w:val="center"/>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F04D02"/>
    <w:pPr>
      <w:autoSpaceDE w:val="0"/>
      <w:autoSpaceDN w:val="0"/>
      <w:adjustRightInd w:val="0"/>
      <w:spacing w:after="0" w:line="288" w:lineRule="auto"/>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F04D02"/>
    <w:pPr>
      <w:autoSpaceDE w:val="0"/>
      <w:autoSpaceDN w:val="0"/>
      <w:adjustRightInd w:val="0"/>
      <w:spacing w:after="0" w:line="288" w:lineRule="auto"/>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F04D02"/>
    <w:pPr>
      <w:autoSpaceDE w:val="0"/>
      <w:autoSpaceDN w:val="0"/>
      <w:adjustRightInd w:val="0"/>
      <w:spacing w:after="0" w:line="288" w:lineRule="auto"/>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F04D02"/>
    <w:pPr>
      <w:autoSpaceDE w:val="0"/>
      <w:autoSpaceDN w:val="0"/>
      <w:adjustRightInd w:val="0"/>
      <w:spacing w:after="0" w:line="288" w:lineRule="auto"/>
      <w:jc w:val="both"/>
      <w:textAlignment w:val="center"/>
    </w:pPr>
    <w:rPr>
      <w:rFonts w:ascii="Calisto MT" w:hAnsi="Calisto MT" w:cs="Calisto MT"/>
      <w:i/>
      <w:iCs/>
      <w:color w:val="000000"/>
      <w:lang w:val="fi-FI"/>
    </w:rPr>
  </w:style>
  <w:style w:type="paragraph" w:customStyle="1" w:styleId="NoParagraphStyle">
    <w:name w:val="[No Paragraph Style]"/>
    <w:rsid w:val="00F04D0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F04D02"/>
    <w:pPr>
      <w:ind w:firstLine="547"/>
      <w:jc w:val="both"/>
    </w:pPr>
    <w:rPr>
      <w:rFonts w:ascii="Calisto MT" w:hAnsi="Calisto MT" w:cs="Calisto MT"/>
      <w:sz w:val="22"/>
      <w:szCs w:val="22"/>
      <w:lang w:val="fi-FI"/>
    </w:rPr>
  </w:style>
  <w:style w:type="paragraph" w:customStyle="1" w:styleId="BAB">
    <w:name w:val="BAB"/>
    <w:basedOn w:val="ISI"/>
    <w:uiPriority w:val="99"/>
    <w:rsid w:val="00F04D02"/>
    <w:pPr>
      <w:ind w:firstLine="0"/>
      <w:jc w:val="left"/>
    </w:pPr>
    <w:rPr>
      <w:b/>
      <w:bCs/>
      <w:caps/>
      <w:lang w:val="en-US"/>
    </w:rPr>
  </w:style>
  <w:style w:type="paragraph" w:customStyle="1" w:styleId="Kutipan">
    <w:name w:val="Kutipan"/>
    <w:basedOn w:val="ISI"/>
    <w:uiPriority w:val="99"/>
    <w:rsid w:val="00F04D02"/>
    <w:pPr>
      <w:ind w:left="567" w:firstLine="0"/>
    </w:pPr>
    <w:rPr>
      <w:lang w:val="en-US"/>
    </w:rPr>
  </w:style>
  <w:style w:type="paragraph" w:customStyle="1" w:styleId="DAFTARPUSTAKA0">
    <w:name w:val="DAFTAR PUSTAKA"/>
    <w:basedOn w:val="ISI"/>
    <w:uiPriority w:val="99"/>
    <w:rsid w:val="00F04D02"/>
    <w:pPr>
      <w:ind w:left="567" w:hanging="567"/>
    </w:pPr>
    <w:rPr>
      <w:sz w:val="18"/>
      <w:szCs w:val="18"/>
      <w:lang w:val="en-US"/>
    </w:rPr>
  </w:style>
  <w:style w:type="paragraph" w:customStyle="1" w:styleId="KETERANGANTABELGAMBAR">
    <w:name w:val="KETERANGAN TABEL GAMBAR"/>
    <w:basedOn w:val="ISI"/>
    <w:uiPriority w:val="99"/>
    <w:rsid w:val="00F04D02"/>
    <w:pPr>
      <w:ind w:firstLine="0"/>
    </w:pPr>
    <w:rPr>
      <w:sz w:val="20"/>
      <w:szCs w:val="20"/>
      <w:lang w:val="en-US"/>
    </w:rPr>
  </w:style>
  <w:style w:type="paragraph" w:customStyle="1" w:styleId="JudulDaftarPustaka">
    <w:name w:val="Judul Daftar Pustaka"/>
    <w:basedOn w:val="NoParagraphStyle"/>
    <w:uiPriority w:val="99"/>
    <w:rsid w:val="00F04D02"/>
    <w:pPr>
      <w:suppressAutoHyphens/>
    </w:pPr>
    <w:rPr>
      <w:rFonts w:ascii="Calisto MT" w:hAnsi="Calisto MT" w:cs="Calisto MT"/>
      <w:b/>
      <w:bCs/>
      <w:sz w:val="18"/>
      <w:szCs w:val="18"/>
      <w:lang w:val="sv-SE"/>
    </w:rPr>
  </w:style>
  <w:style w:type="character" w:styleId="PlaceholderText">
    <w:name w:val="Placeholder Text"/>
    <w:basedOn w:val="DefaultParagraphFont"/>
    <w:uiPriority w:val="99"/>
    <w:semiHidden/>
    <w:rsid w:val="00F04D02"/>
    <w:rPr>
      <w:color w:val="808080"/>
    </w:rPr>
  </w:style>
  <w:style w:type="paragraph" w:styleId="NormalWeb">
    <w:name w:val="Normal (Web)"/>
    <w:basedOn w:val="Normal"/>
    <w:uiPriority w:val="99"/>
    <w:unhideWhenUsed/>
    <w:rsid w:val="00F04D0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0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4D02"/>
    <w:rPr>
      <w:rFonts w:ascii="Courier New" w:eastAsia="Times New Roman" w:hAnsi="Courier New" w:cs="Courier New"/>
      <w:sz w:val="20"/>
      <w:szCs w:val="20"/>
    </w:rPr>
  </w:style>
  <w:style w:type="paragraph" w:customStyle="1" w:styleId="isiteks">
    <w:name w:val="isi teks"/>
    <w:basedOn w:val="Normal"/>
    <w:link w:val="isiteksChar"/>
    <w:qFormat/>
    <w:rsid w:val="00F04D02"/>
    <w:pPr>
      <w:spacing w:after="0" w:line="360" w:lineRule="auto"/>
      <w:ind w:firstLine="709"/>
      <w:jc w:val="both"/>
    </w:pPr>
    <w:rPr>
      <w:rFonts w:ascii="Times New Roman" w:eastAsia="Times New Roman" w:hAnsi="Times New Roman" w:cs="Times New Roman"/>
      <w:sz w:val="24"/>
      <w:lang w:val="id-ID"/>
    </w:rPr>
  </w:style>
  <w:style w:type="character" w:customStyle="1" w:styleId="isiteksChar">
    <w:name w:val="isi teks Char"/>
    <w:link w:val="isiteks"/>
    <w:locked/>
    <w:rsid w:val="00F04D02"/>
    <w:rPr>
      <w:rFonts w:ascii="Times New Roman" w:eastAsia="Times New Roman" w:hAnsi="Times New Roman" w:cs="Times New Roman"/>
      <w:sz w:val="24"/>
      <w:lang w:val="id-ID"/>
    </w:rPr>
  </w:style>
  <w:style w:type="character" w:customStyle="1" w:styleId="DocumentMapChar">
    <w:name w:val="Document Map Char"/>
    <w:basedOn w:val="DefaultParagraphFont"/>
    <w:link w:val="DocumentMap"/>
    <w:uiPriority w:val="99"/>
    <w:semiHidden/>
    <w:rsid w:val="00F04D02"/>
    <w:rPr>
      <w:rFonts w:ascii="Tahoma" w:eastAsia="Calibri" w:hAnsi="Tahoma" w:cs="Tahoma"/>
      <w:sz w:val="16"/>
      <w:szCs w:val="16"/>
    </w:rPr>
  </w:style>
  <w:style w:type="paragraph" w:styleId="DocumentMap">
    <w:name w:val="Document Map"/>
    <w:basedOn w:val="Normal"/>
    <w:link w:val="DocumentMapChar"/>
    <w:uiPriority w:val="99"/>
    <w:semiHidden/>
    <w:unhideWhenUsed/>
    <w:rsid w:val="00F04D02"/>
    <w:pPr>
      <w:spacing w:beforeAutospacing="1" w:after="0" w:afterAutospacing="1" w:line="240" w:lineRule="auto"/>
      <w:ind w:left="-57" w:right="-57"/>
      <w:jc w:val="center"/>
    </w:pPr>
    <w:rPr>
      <w:rFonts w:ascii="Tahoma" w:hAnsi="Tahoma" w:cs="Tahoma"/>
      <w:sz w:val="16"/>
      <w:szCs w:val="16"/>
    </w:rPr>
  </w:style>
  <w:style w:type="paragraph" w:styleId="BodyTextIndent">
    <w:name w:val="Body Text Indent"/>
    <w:basedOn w:val="Normal"/>
    <w:link w:val="BodyTextIndentChar"/>
    <w:rsid w:val="00F04D02"/>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04D02"/>
    <w:rPr>
      <w:rFonts w:ascii="Times New Roman" w:eastAsia="Times New Roman" w:hAnsi="Times New Roman" w:cs="Times New Roman"/>
      <w:sz w:val="24"/>
      <w:szCs w:val="24"/>
    </w:rPr>
  </w:style>
  <w:style w:type="paragraph" w:styleId="BodyText2">
    <w:name w:val="Body Text 2"/>
    <w:basedOn w:val="Normal"/>
    <w:link w:val="BodyText2Char"/>
    <w:uiPriority w:val="99"/>
    <w:rsid w:val="00F04D0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F04D02"/>
    <w:rPr>
      <w:rFonts w:ascii="Times New Roman" w:eastAsia="Times New Roman" w:hAnsi="Times New Roman" w:cs="Times New Roman"/>
      <w:sz w:val="24"/>
      <w:szCs w:val="24"/>
    </w:rPr>
  </w:style>
  <w:style w:type="paragraph" w:styleId="Caption">
    <w:name w:val="caption"/>
    <w:basedOn w:val="Normal"/>
    <w:next w:val="Normal"/>
    <w:unhideWhenUsed/>
    <w:qFormat/>
    <w:rsid w:val="00F04D02"/>
    <w:pPr>
      <w:spacing w:line="240" w:lineRule="auto"/>
    </w:pPr>
    <w:rPr>
      <w:i/>
      <w:iCs/>
      <w:color w:val="1F497D" w:themeColor="text2"/>
      <w:sz w:val="18"/>
      <w:szCs w:val="18"/>
      <w:lang w:val="id-ID"/>
    </w:rPr>
  </w:style>
  <w:style w:type="character" w:customStyle="1" w:styleId="apple-converted-space">
    <w:name w:val="apple-converted-space"/>
    <w:basedOn w:val="DefaultParagraphFont"/>
    <w:rsid w:val="00F04D02"/>
  </w:style>
  <w:style w:type="character" w:styleId="Strong">
    <w:name w:val="Strong"/>
    <w:basedOn w:val="DefaultParagraphFont"/>
    <w:uiPriority w:val="22"/>
    <w:qFormat/>
    <w:rsid w:val="00F04D02"/>
    <w:rPr>
      <w:b/>
      <w:bCs/>
    </w:rPr>
  </w:style>
  <w:style w:type="paragraph" w:styleId="TOC2">
    <w:name w:val="toc 2"/>
    <w:basedOn w:val="Normal"/>
    <w:next w:val="Normal"/>
    <w:rsid w:val="00F04D02"/>
    <w:pPr>
      <w:tabs>
        <w:tab w:val="right" w:leader="dot" w:pos="7927"/>
      </w:tabs>
      <w:spacing w:after="0" w:line="360" w:lineRule="auto"/>
      <w:ind w:left="220"/>
    </w:pPr>
    <w:rPr>
      <w:rFonts w:ascii="Times New Roman" w:eastAsia="Malgun Gothic" w:hAnsi="Times New Roman" w:cs="Times New Roman"/>
      <w:noProof/>
      <w:sz w:val="24"/>
      <w:szCs w:val="24"/>
      <w:lang w:val="id-ID"/>
    </w:rPr>
  </w:style>
  <w:style w:type="paragraph" w:styleId="TOC3">
    <w:name w:val="toc 3"/>
    <w:basedOn w:val="Normal"/>
    <w:next w:val="Normal"/>
    <w:rsid w:val="00F04D02"/>
    <w:pPr>
      <w:tabs>
        <w:tab w:val="left" w:pos="851"/>
        <w:tab w:val="right" w:leader="dot" w:pos="7927"/>
      </w:tabs>
      <w:spacing w:after="100"/>
      <w:ind w:left="440"/>
    </w:pPr>
    <w:rPr>
      <w:rFonts w:ascii="Times New Roman" w:eastAsia="Malgun Gothic" w:hAnsi="Times New Roman" w:cs="Times New Roman"/>
      <w:noProof/>
      <w:sz w:val="24"/>
      <w:szCs w:val="24"/>
      <w:lang w:val="id-ID"/>
    </w:rPr>
  </w:style>
  <w:style w:type="paragraph" w:styleId="TOC4">
    <w:name w:val="toc 4"/>
    <w:basedOn w:val="Normal"/>
    <w:next w:val="Normal"/>
    <w:rsid w:val="00F04D02"/>
    <w:pPr>
      <w:tabs>
        <w:tab w:val="left" w:pos="1276"/>
        <w:tab w:val="right" w:leader="dot" w:pos="7927"/>
      </w:tabs>
      <w:spacing w:after="100"/>
      <w:ind w:left="660"/>
    </w:pPr>
    <w:rPr>
      <w:rFonts w:eastAsia="Malgun Gothic" w:cs="Times New Roman"/>
      <w:lang w:val="id-ID"/>
    </w:rPr>
  </w:style>
  <w:style w:type="paragraph" w:styleId="TableofFigures">
    <w:name w:val="table of figures"/>
    <w:basedOn w:val="Normal"/>
    <w:next w:val="Normal"/>
    <w:uiPriority w:val="99"/>
    <w:unhideWhenUsed/>
    <w:rsid w:val="00F04D02"/>
    <w:pPr>
      <w:spacing w:after="0"/>
    </w:pPr>
    <w:rPr>
      <w:rFonts w:eastAsiaTheme="minorEastAsia"/>
      <w:lang w:val="id-ID"/>
    </w:rPr>
  </w:style>
  <w:style w:type="character" w:customStyle="1" w:styleId="alt-edited">
    <w:name w:val="alt-edited"/>
    <w:basedOn w:val="DefaultParagraphFont"/>
    <w:rsid w:val="00F04D02"/>
  </w:style>
  <w:style w:type="character" w:customStyle="1" w:styleId="shorttext">
    <w:name w:val="short_text"/>
    <w:basedOn w:val="DefaultParagraphFont"/>
    <w:rsid w:val="00F04D02"/>
  </w:style>
  <w:style w:type="character" w:customStyle="1" w:styleId="st">
    <w:name w:val="st"/>
    <w:basedOn w:val="DefaultParagraphFont"/>
    <w:rsid w:val="00F04D02"/>
  </w:style>
  <w:style w:type="character" w:customStyle="1" w:styleId="citation">
    <w:name w:val="citation"/>
    <w:basedOn w:val="DefaultParagraphFont"/>
    <w:rsid w:val="00F04D02"/>
  </w:style>
  <w:style w:type="character" w:customStyle="1" w:styleId="search">
    <w:name w:val="search"/>
    <w:basedOn w:val="DefaultParagraphFont"/>
    <w:rsid w:val="00F04D02"/>
  </w:style>
  <w:style w:type="character" w:customStyle="1" w:styleId="TitleChar">
    <w:name w:val="Title Char"/>
    <w:basedOn w:val="DefaultParagraphFont"/>
    <w:link w:val="Title"/>
    <w:rsid w:val="00BF575F"/>
    <w:rPr>
      <w:rFonts w:ascii="Times New Roman" w:eastAsia="Times New Roman" w:hAnsi="Times New Roman" w:cs="Times New Roman"/>
      <w:b/>
      <w:sz w:val="24"/>
      <w:szCs w:val="20"/>
    </w:rPr>
  </w:style>
  <w:style w:type="character" w:styleId="PageNumber">
    <w:name w:val="page number"/>
    <w:basedOn w:val="DefaultParagraphFont"/>
    <w:rsid w:val="000804C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0329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9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8703">
      <w:bodyDiv w:val="1"/>
      <w:marLeft w:val="0"/>
      <w:marRight w:val="0"/>
      <w:marTop w:val="0"/>
      <w:marBottom w:val="0"/>
      <w:divBdr>
        <w:top w:val="none" w:sz="0" w:space="0" w:color="auto"/>
        <w:left w:val="none" w:sz="0" w:space="0" w:color="auto"/>
        <w:bottom w:val="none" w:sz="0" w:space="0" w:color="auto"/>
        <w:right w:val="none" w:sz="0" w:space="0" w:color="auto"/>
      </w:divBdr>
    </w:div>
    <w:div w:id="423113163">
      <w:bodyDiv w:val="1"/>
      <w:marLeft w:val="0"/>
      <w:marRight w:val="0"/>
      <w:marTop w:val="0"/>
      <w:marBottom w:val="0"/>
      <w:divBdr>
        <w:top w:val="none" w:sz="0" w:space="0" w:color="auto"/>
        <w:left w:val="none" w:sz="0" w:space="0" w:color="auto"/>
        <w:bottom w:val="none" w:sz="0" w:space="0" w:color="auto"/>
        <w:right w:val="none" w:sz="0" w:space="0" w:color="auto"/>
      </w:divBdr>
    </w:div>
    <w:div w:id="475612252">
      <w:bodyDiv w:val="1"/>
      <w:marLeft w:val="0"/>
      <w:marRight w:val="0"/>
      <w:marTop w:val="0"/>
      <w:marBottom w:val="0"/>
      <w:divBdr>
        <w:top w:val="none" w:sz="0" w:space="0" w:color="auto"/>
        <w:left w:val="none" w:sz="0" w:space="0" w:color="auto"/>
        <w:bottom w:val="none" w:sz="0" w:space="0" w:color="auto"/>
        <w:right w:val="none" w:sz="0" w:space="0" w:color="auto"/>
      </w:divBdr>
    </w:div>
    <w:div w:id="678429966">
      <w:bodyDiv w:val="1"/>
      <w:marLeft w:val="0"/>
      <w:marRight w:val="0"/>
      <w:marTop w:val="0"/>
      <w:marBottom w:val="0"/>
      <w:divBdr>
        <w:top w:val="none" w:sz="0" w:space="0" w:color="auto"/>
        <w:left w:val="none" w:sz="0" w:space="0" w:color="auto"/>
        <w:bottom w:val="none" w:sz="0" w:space="0" w:color="auto"/>
        <w:right w:val="none" w:sz="0" w:space="0" w:color="auto"/>
      </w:divBdr>
    </w:div>
    <w:div w:id="832334055">
      <w:bodyDiv w:val="1"/>
      <w:marLeft w:val="0"/>
      <w:marRight w:val="0"/>
      <w:marTop w:val="0"/>
      <w:marBottom w:val="0"/>
      <w:divBdr>
        <w:top w:val="none" w:sz="0" w:space="0" w:color="auto"/>
        <w:left w:val="none" w:sz="0" w:space="0" w:color="auto"/>
        <w:bottom w:val="none" w:sz="0" w:space="0" w:color="auto"/>
        <w:right w:val="none" w:sz="0" w:space="0" w:color="auto"/>
      </w:divBdr>
    </w:div>
    <w:div w:id="1399129773">
      <w:bodyDiv w:val="1"/>
      <w:marLeft w:val="0"/>
      <w:marRight w:val="0"/>
      <w:marTop w:val="0"/>
      <w:marBottom w:val="0"/>
      <w:divBdr>
        <w:top w:val="none" w:sz="0" w:space="0" w:color="auto"/>
        <w:left w:val="none" w:sz="0" w:space="0" w:color="auto"/>
        <w:bottom w:val="none" w:sz="0" w:space="0" w:color="auto"/>
        <w:right w:val="none" w:sz="0" w:space="0" w:color="auto"/>
      </w:divBdr>
    </w:div>
    <w:div w:id="1683237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rcid.org/0000-0001-5959-3259"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9-0006-8245-948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orcid.org/0000-0002-0929-0425"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orcid.org/0009-0002-3782-5455" TargetMode="Externa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4A4381-275E-4F81-ADF8-E488E8AA70DD}">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KJaIIY6xTCDqYWJpUjnckPlGQw==">CgMxLjA4AHIhMVhQZi1KY3laMVJXWUJSOGh6aFVpd0VhOFpwVHBmbkV5</go:docsCustomData>
</go:gDocsCustomXmlDataStorage>
</file>

<file path=customXml/itemProps1.xml><?xml version="1.0" encoding="utf-8"?>
<ds:datastoreItem xmlns:ds="http://schemas.openxmlformats.org/officeDocument/2006/customXml" ds:itemID="{CF353EE7-2943-4296-8FA9-A02007E086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Pages>
  <Words>23658</Words>
  <Characters>134854</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Hilmi</dc:creator>
  <cp:lastModifiedBy>fadila ridara</cp:lastModifiedBy>
  <cp:revision>15</cp:revision>
  <cp:lastPrinted>2024-09-30T06:01:00Z</cp:lastPrinted>
  <dcterms:created xsi:type="dcterms:W3CDTF">2024-11-06T09:04:00Z</dcterms:created>
  <dcterms:modified xsi:type="dcterms:W3CDTF">2025-01-16T08:18:00Z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12th edition - Harvard</vt:lpwstr>
  </property>
  <property fmtid="{D5CDD505-2E9C-101B-9397-08002B2CF9AE}" pid="8" name="Mendeley Recent Style Id 3_1">
    <vt:lpwstr>http://www.zotero.org/styles/harvard-cite-them-right-no-et-al</vt:lpwstr>
  </property>
  <property fmtid="{D5CDD505-2E9C-101B-9397-08002B2CF9AE}" pid="9" name="Mendeley Recent Style Name 3_1">
    <vt:lpwstr>Cite Them Right 12th edition - Harvard (no "et al.")</vt:lpwstr>
  </property>
  <property fmtid="{D5CDD505-2E9C-101B-9397-08002B2CF9AE}" pid="10" name="Mendeley Recent Style Id 4_1">
    <vt:lpwstr>http://www.zotero.org/styles/harvard-educational-review</vt:lpwstr>
  </property>
  <property fmtid="{D5CDD505-2E9C-101B-9397-08002B2CF9AE}" pid="11" name="Mendeley Recent Style Name 4_1">
    <vt:lpwstr>Harvard Educational Review</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eb4a9b0e-3f2a-3c7d-859d-a1c332ea0024</vt:lpwstr>
  </property>
  <property fmtid="{D5CDD505-2E9C-101B-9397-08002B2CF9AE}" pid="24" name="Mendeley Citation Style_1">
    <vt:lpwstr>http://www.zotero.org/styles/harvard-educational-review</vt:lpwstr>
  </property>
</Properties>
</file>