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EC031" w14:textId="27AAC1FF" w:rsidR="00C078D2" w:rsidRPr="00A333DC" w:rsidRDefault="008448E7" w:rsidP="008448E7">
      <w:pPr>
        <w:pStyle w:val="Title"/>
        <w:rPr>
          <w:sz w:val="32"/>
          <w:szCs w:val="28"/>
        </w:rPr>
      </w:pPr>
      <w:bookmarkStart w:id="0" w:name="_Hlk43730931"/>
      <w:r w:rsidRPr="008448E7">
        <w:rPr>
          <w:sz w:val="32"/>
          <w:szCs w:val="28"/>
          <w:lang w:val="en-US"/>
        </w:rPr>
        <w:t>Implementation of Advanced Coal-Biomass Blending and Fuel Stock Management</w:t>
      </w:r>
      <w:r>
        <w:rPr>
          <w:sz w:val="32"/>
          <w:szCs w:val="28"/>
          <w:lang w:val="en-US"/>
        </w:rPr>
        <w:t xml:space="preserve"> </w:t>
      </w:r>
      <w:r w:rsidRPr="008448E7">
        <w:rPr>
          <w:sz w:val="32"/>
          <w:szCs w:val="28"/>
          <w:lang w:val="en-US"/>
        </w:rPr>
        <w:t>at Pelabuhan Ratu Power Plant</w:t>
      </w:r>
      <w:r w:rsidR="00231CB1">
        <w:rPr>
          <w:rStyle w:val="FootnoteReference"/>
          <w:sz w:val="32"/>
          <w:szCs w:val="28"/>
          <w:lang w:val="en-US"/>
        </w:rPr>
        <w:footnoteReference w:id="2"/>
      </w:r>
    </w:p>
    <w:p w14:paraId="252531DF" w14:textId="3D49E09A" w:rsidR="00FE598A" w:rsidRPr="00E72382" w:rsidRDefault="008448E7" w:rsidP="009F3143">
      <w:pPr>
        <w:pStyle w:val="Subtitle0"/>
        <w:rPr>
          <w:rFonts w:eastAsia="Garamond" w:cs="Garamond"/>
          <w:lang w:val="en-US"/>
        </w:rPr>
      </w:pPr>
      <w:bookmarkStart w:id="1" w:name="_Hlk43730994"/>
      <w:bookmarkEnd w:id="0"/>
      <w:r w:rsidRPr="008448E7">
        <w:rPr>
          <w:rFonts w:eastAsia="Garamond" w:cs="Garamond"/>
          <w:lang w:val="en-US"/>
        </w:rPr>
        <w:t>H</w:t>
      </w:r>
      <w:r>
        <w:rPr>
          <w:rFonts w:eastAsia="Garamond" w:cs="Garamond"/>
          <w:lang w:val="en-US"/>
        </w:rPr>
        <w:t>.</w:t>
      </w:r>
      <w:r w:rsidRPr="008448E7">
        <w:rPr>
          <w:rFonts w:eastAsia="Garamond" w:cs="Garamond"/>
          <w:lang w:val="en-US"/>
        </w:rPr>
        <w:t>T</w:t>
      </w:r>
      <w:r>
        <w:rPr>
          <w:rFonts w:eastAsia="Garamond" w:cs="Garamond"/>
          <w:lang w:val="en-US"/>
        </w:rPr>
        <w:t>.</w:t>
      </w:r>
      <w:r w:rsidRPr="008448E7">
        <w:rPr>
          <w:rFonts w:eastAsia="Garamond" w:cs="Garamond"/>
          <w:lang w:val="en-US"/>
        </w:rPr>
        <w:t xml:space="preserve"> Nurahman</w:t>
      </w:r>
      <w:r>
        <w:rPr>
          <w:rFonts w:eastAsia="Garamond" w:cs="Garamond"/>
          <w:vertAlign w:val="superscript"/>
          <w:lang w:val="en-US"/>
        </w:rPr>
        <w:t>1, *</w:t>
      </w:r>
      <w:r>
        <w:rPr>
          <w:rFonts w:eastAsia="Garamond" w:cs="Garamond"/>
          <w:lang w:val="en-US"/>
        </w:rPr>
        <w:t xml:space="preserve"> and</w:t>
      </w:r>
      <w:r w:rsidR="00E72382">
        <w:rPr>
          <w:rFonts w:eastAsia="Garamond" w:cs="Garamond"/>
          <w:lang w:val="en-US"/>
        </w:rPr>
        <w:t xml:space="preserve"> </w:t>
      </w:r>
      <w:r>
        <w:rPr>
          <w:rFonts w:eastAsia="Garamond" w:cs="Garamond"/>
          <w:lang w:val="en-US"/>
        </w:rPr>
        <w:t xml:space="preserve">H. </w:t>
      </w:r>
      <w:r w:rsidRPr="008448E7">
        <w:rPr>
          <w:rFonts w:eastAsia="Garamond" w:cs="Garamond"/>
          <w:lang w:val="en-US"/>
        </w:rPr>
        <w:t>Hermawan</w:t>
      </w:r>
      <w:r w:rsidRPr="008448E7">
        <w:rPr>
          <w:rFonts w:eastAsia="Garamond" w:cs="Garamond"/>
          <w:vertAlign w:val="superscript"/>
          <w:lang w:val="en-US"/>
        </w:rPr>
        <w:t>2</w:t>
      </w:r>
    </w:p>
    <w:bookmarkEnd w:id="1"/>
    <w:p w14:paraId="784C3D3D" w14:textId="1B6CD417" w:rsidR="00582304" w:rsidRDefault="008448E7" w:rsidP="008448E7">
      <w:pPr>
        <w:pStyle w:val="AuthorAffiliation"/>
      </w:pPr>
      <w:r w:rsidRPr="008448E7">
        <w:rPr>
          <w:vertAlign w:val="superscript"/>
        </w:rPr>
        <w:t>1</w:t>
      </w:r>
      <w:r>
        <w:t>Primary Energy Dept. PT. PLN Indonesia Power, Pelabuhan Ratu Power Generation Unit Indonesia</w:t>
      </w:r>
    </w:p>
    <w:p w14:paraId="62B53F97" w14:textId="1A5A2EB7" w:rsidR="008448E7" w:rsidRDefault="008448E7" w:rsidP="008448E7">
      <w:pPr>
        <w:pStyle w:val="AuthorAffiliation"/>
      </w:pPr>
      <w:r w:rsidRPr="008448E7">
        <w:rPr>
          <w:vertAlign w:val="superscript"/>
        </w:rPr>
        <w:t>2</w:t>
      </w:r>
      <w:r>
        <w:t>Engineering Dept. PT. PLN Indonesia Power, Pelabuhan Ratu Power Generation Unit Indonesia</w:t>
      </w:r>
    </w:p>
    <w:p w14:paraId="7FBF77BC" w14:textId="7E084843" w:rsidR="0042488A" w:rsidRPr="006C1C41" w:rsidRDefault="00EB7026" w:rsidP="006C1C41">
      <w:pPr>
        <w:pStyle w:val="AuthorEmail"/>
      </w:pPr>
      <w:r>
        <w:t>*</w:t>
      </w:r>
      <w:r w:rsidR="00614B5F">
        <w:t>E</w:t>
      </w:r>
      <w:r w:rsidR="0042488A" w:rsidRPr="003635AD">
        <w:rPr>
          <w:lang w:val="id-ID"/>
        </w:rPr>
        <w:t xml:space="preserve">-mail: </w:t>
      </w:r>
      <w:r w:rsidR="008448E7" w:rsidRPr="008448E7">
        <w:t>herowiko@plnindonesiapower.co.id</w:t>
      </w:r>
    </w:p>
    <w:p w14:paraId="6F617595" w14:textId="2098D59B" w:rsidR="0042488A" w:rsidRDefault="0042488A" w:rsidP="00B315D2"/>
    <w:p w14:paraId="4886A68E" w14:textId="1E6267B7" w:rsidR="00404ABB" w:rsidRPr="00656553" w:rsidRDefault="00404ABB" w:rsidP="00404ABB">
      <w:pPr>
        <w:contextualSpacing/>
        <w:rPr>
          <w:rFonts w:eastAsia="Times New Roman"/>
          <w:b/>
        </w:rPr>
      </w:pPr>
      <w:r w:rsidRPr="00656553">
        <w:rPr>
          <w:rFonts w:eastAsia="Times New Roman"/>
          <w:b/>
        </w:rPr>
        <w:t>Abstract</w:t>
      </w:r>
    </w:p>
    <w:p w14:paraId="2EC16A9F" w14:textId="77777777" w:rsidR="00196459" w:rsidRPr="00196459" w:rsidRDefault="00196459" w:rsidP="00196459">
      <w:pPr>
        <w:rPr>
          <w:lang w:val="en-US" w:bidi="en-US"/>
        </w:rPr>
      </w:pPr>
      <w:r w:rsidRPr="00196459">
        <w:rPr>
          <w:lang w:val="en-US" w:bidi="en-US"/>
        </w:rPr>
        <w:t>The issue of climate change is of particular concern to countries around the world, including Indonesia. Many efforts are being and will be made to contribute to addressing climate change issues. Pelabuhan Ratu Power Plant (3 x 350 MW) belongs to PT PLN Indonesia Power. In line with the PLN Transformation (GREEN aspect) and the PT PLN Indonesia Power program ("Green Boosters"), Pelabuhan Ratu Power Plant contributes to produce low-carbon sustainable energy by cofiring biomass (sawdust). There are two main challenges in implementing cofiring. The first is the poor biomass handling and blending methods that are typically used in power plants. The second is the low calorific value of coal and biomass blending due to the improper blending process. To overcome these challenges, Pelabuhan Ratu Power Plant has developed an advanced coal-biomass blending and fuel stock management digitalization. By applying advanced method of coal-biomass blend, the biomass utilization (total, monthly average, and daily average) increased significantly in 2022 and 2023. Total biomass utilization increased up to 171% and still possible to be higher. The green energy production increased up to 255% and GHG emission reduced up to 255%. The fuel stock management provides optimal blending recommendations as operators' guidelines. As a result, potential derating loss due to low calorific value of blended products can be reduced by 59.9%.</w:t>
      </w:r>
    </w:p>
    <w:p w14:paraId="1490EB10" w14:textId="2BFD480A" w:rsidR="00A5589F" w:rsidRPr="00656553" w:rsidRDefault="00A5589F" w:rsidP="00275769">
      <w:pPr>
        <w:rPr>
          <w:lang w:val="en-US" w:bidi="en-US"/>
        </w:rPr>
      </w:pPr>
    </w:p>
    <w:p w14:paraId="6D602E37" w14:textId="77777777" w:rsidR="002A64E8" w:rsidRPr="00656553" w:rsidRDefault="002A64E8" w:rsidP="002A64E8">
      <w:pPr>
        <w:pStyle w:val="Paragraph"/>
        <w:rPr>
          <w:lang w:val="en-ID" w:bidi="en-US"/>
        </w:rPr>
      </w:pPr>
    </w:p>
    <w:p w14:paraId="67D46289" w14:textId="7CCA426F" w:rsidR="006C1C41" w:rsidRDefault="00404ABB" w:rsidP="006C1C41">
      <w:pPr>
        <w:spacing w:line="360" w:lineRule="auto"/>
        <w:contextualSpacing/>
        <w:rPr>
          <w:rFonts w:eastAsia="Times New Roman"/>
          <w:lang w:val="en-US"/>
        </w:rPr>
      </w:pPr>
      <w:r w:rsidRPr="00656553">
        <w:rPr>
          <w:rFonts w:eastAsia="Times New Roman"/>
          <w:b/>
          <w:i/>
          <w:iCs/>
        </w:rPr>
        <w:t>Keywords</w:t>
      </w:r>
      <w:r w:rsidR="006C1C41" w:rsidRPr="00656553">
        <w:rPr>
          <w:rFonts w:eastAsia="Times New Roman"/>
        </w:rPr>
        <w:t xml:space="preserve">: </w:t>
      </w:r>
      <w:r w:rsidR="00196459" w:rsidRPr="00656553">
        <w:rPr>
          <w:rFonts w:eastAsia="Times New Roman"/>
          <w:lang w:val="en-US"/>
        </w:rPr>
        <w:t>low carbon sustainable energy, biomass cofiring, blending, fuel stock management, digitalization</w:t>
      </w:r>
    </w:p>
    <w:p w14:paraId="0F96A7A8" w14:textId="77777777" w:rsidR="00656553" w:rsidRDefault="00656553" w:rsidP="00656553">
      <w:pPr>
        <w:pStyle w:val="Paragraph"/>
      </w:pPr>
    </w:p>
    <w:p w14:paraId="29AA5231" w14:textId="77777777" w:rsidR="00656553" w:rsidRPr="00F9659C" w:rsidRDefault="00656553" w:rsidP="00656553">
      <w:pPr>
        <w:contextualSpacing/>
        <w:rPr>
          <w:rFonts w:eastAsia="Times New Roman"/>
          <w:b/>
        </w:rPr>
      </w:pPr>
      <w:r w:rsidRPr="00404ABB">
        <w:rPr>
          <w:rFonts w:eastAsia="Times New Roman"/>
          <w:b/>
        </w:rPr>
        <w:t>Abstrak</w:t>
      </w:r>
    </w:p>
    <w:p w14:paraId="061FF773" w14:textId="77777777" w:rsidR="00656553" w:rsidRPr="004D6FE3" w:rsidRDefault="00656553" w:rsidP="00656553">
      <w:pPr>
        <w:pStyle w:val="Paragraph"/>
        <w:ind w:firstLine="0"/>
        <w:rPr>
          <w:bCs/>
          <w:iCs/>
        </w:rPr>
      </w:pPr>
      <w:r w:rsidRPr="00656553">
        <w:rPr>
          <w:bCs/>
          <w:iCs/>
        </w:rPr>
        <w:t>Masalah perubahan iklim menjadi perhatian utama bagi negara-negara di seluruh dunia, termasuk Indonesia. Banyak upaya yang sedang dan akan dilakukan untuk membantu mengatasi masalah perubahan iklim ini. Pembangkit Listrik Pelabuhan Ratu (3 x 350 MW) dimiliki oleh PT PLN Indonesia Power. Sejalan dengan Transformasi PLN (GREEN</w:t>
      </w:r>
      <w:r>
        <w:rPr>
          <w:bCs/>
          <w:iCs/>
        </w:rPr>
        <w:t xml:space="preserve"> </w:t>
      </w:r>
      <w:r w:rsidRPr="00656553">
        <w:rPr>
          <w:bCs/>
          <w:i/>
        </w:rPr>
        <w:t>aspect</w:t>
      </w:r>
      <w:r w:rsidRPr="00656553">
        <w:rPr>
          <w:bCs/>
          <w:iCs/>
        </w:rPr>
        <w:t>) dan PT PLN Indonesia Power program "</w:t>
      </w:r>
      <w:r w:rsidRPr="00656553">
        <w:rPr>
          <w:bCs/>
          <w:i/>
        </w:rPr>
        <w:t>Green Boosters</w:t>
      </w:r>
      <w:r w:rsidRPr="00656553">
        <w:rPr>
          <w:bCs/>
          <w:iCs/>
        </w:rPr>
        <w:t>",</w:t>
      </w:r>
      <w:r>
        <w:rPr>
          <w:bCs/>
          <w:iCs/>
        </w:rPr>
        <w:t xml:space="preserve"> Pembangkit Listrik</w:t>
      </w:r>
      <w:r w:rsidRPr="00656553">
        <w:rPr>
          <w:bCs/>
          <w:iCs/>
        </w:rPr>
        <w:t xml:space="preserve"> Pelabuhan Ratu turut berkontribusi dalam menghasilkan energi berkelanjutan rendah karbon dengan menggunakan biomassa (</w:t>
      </w:r>
      <w:r w:rsidRPr="00656553">
        <w:rPr>
          <w:bCs/>
          <w:i/>
        </w:rPr>
        <w:t>swadust</w:t>
      </w:r>
      <w:r w:rsidRPr="00656553">
        <w:rPr>
          <w:bCs/>
          <w:iCs/>
        </w:rPr>
        <w:t>). Terdapat dua tantangan utama dalam menerapkan penggunaan biomassa. Pertama adalah metode penanganan dan pencampuran biomassa yang kurang efektif yang biasanya digunakan dalam pembangkit listrik. Kedua adalah nilai kalor rendah dari campuran batubara dan biomassa karena proses pencampuran yang tidak tepat. Untuk mengatasi tantangan ini, Pembangkit Listrik Pelabuhan Ratu telah mengembangkan digitalisasi manajemen pencampuran batubara-biomassa dan manajemen stok bahan bakar yang canggih. Dengan menerapkan metode pencampuran batubara-biomassa yang lebih maju, penggunaan biomassa (total, rata-rata bulanan, dan rata-rata harian) meningkat secara signifikan pada tahun 2022 dan 2023. Penggunaan total biomassa meningkat hingga 171% dan masih mungkin untuk ditingkatkan lebih lanjut. Produksi energi hijau meningkat hingga 255% dan emisi gas rumah kaca dapat dikurangi hingga 255%. Manajemen stok bahan bakar memberikan rekomendasi pencampuran optimal sebagai panduan bagi operator. Sebagai hasilnya, potensi kerugian derating akibat nilai kalor rendah dari produk campuran dapat dikurangi hingga 59,9%.</w:t>
      </w:r>
    </w:p>
    <w:p w14:paraId="13649B7F" w14:textId="77777777" w:rsidR="00656553" w:rsidRPr="00F9659C" w:rsidRDefault="00656553" w:rsidP="00656553">
      <w:pPr>
        <w:pStyle w:val="Paragraph"/>
        <w:ind w:firstLine="0"/>
        <w:rPr>
          <w:lang w:val="id-ID"/>
        </w:rPr>
      </w:pPr>
    </w:p>
    <w:p w14:paraId="15AE0AC4" w14:textId="77777777" w:rsidR="00656553" w:rsidRPr="00F76066" w:rsidRDefault="00656553" w:rsidP="00656553">
      <w:pPr>
        <w:pStyle w:val="Paragraph"/>
        <w:ind w:firstLine="0"/>
        <w:rPr>
          <w:rFonts w:eastAsia="SimSun"/>
          <w:iCs/>
          <w:szCs w:val="22"/>
        </w:rPr>
      </w:pPr>
      <w:r w:rsidRPr="001178E1">
        <w:rPr>
          <w:rFonts w:eastAsia="Times New Roman"/>
          <w:b/>
          <w:i/>
          <w:iCs/>
        </w:rPr>
        <w:t>Kata kunci</w:t>
      </w:r>
      <w:r w:rsidRPr="00F9659C">
        <w:rPr>
          <w:rFonts w:eastAsia="Times New Roman"/>
        </w:rPr>
        <w:t xml:space="preserve"> :</w:t>
      </w:r>
      <w:r>
        <w:rPr>
          <w:rFonts w:eastAsia="Times New Roman"/>
        </w:rPr>
        <w:t xml:space="preserve"> </w:t>
      </w:r>
      <w:r w:rsidRPr="00656553">
        <w:rPr>
          <w:rFonts w:eastAsia="Times New Roman"/>
        </w:rPr>
        <w:t>energi berkelanjutan rendah karbon, pencampuran biomassa, pencampuran, manajemen stok bahan bakar, digitalisasi</w:t>
      </w:r>
    </w:p>
    <w:p w14:paraId="2A62C19C" w14:textId="77777777" w:rsidR="00656553" w:rsidRPr="00656553" w:rsidRDefault="00656553" w:rsidP="00656553">
      <w:pPr>
        <w:pStyle w:val="Paragraph"/>
      </w:pPr>
    </w:p>
    <w:p w14:paraId="48FE2BEB" w14:textId="16676F53" w:rsidR="00C77085" w:rsidRDefault="00C77085">
      <w:pPr>
        <w:jc w:val="left"/>
        <w:rPr>
          <w:rFonts w:eastAsia="Times New Roman"/>
          <w:lang w:val="en-US"/>
        </w:rPr>
      </w:pPr>
      <w:r>
        <w:rPr>
          <w:rFonts w:eastAsia="Times New Roman"/>
          <w:lang w:val="en-US"/>
        </w:rPr>
        <w:br w:type="page"/>
      </w:r>
    </w:p>
    <w:p w14:paraId="31789A46" w14:textId="64F8C640" w:rsidR="00C62B85" w:rsidRPr="003635AD" w:rsidRDefault="002B15FD" w:rsidP="00410493">
      <w:pPr>
        <w:pStyle w:val="Subtitle"/>
      </w:pPr>
      <w:r>
        <w:rPr>
          <w:lang w:val="en-US"/>
        </w:rPr>
        <w:lastRenderedPageBreak/>
        <w:t>INTRODUCTION</w:t>
      </w:r>
    </w:p>
    <w:p w14:paraId="5ACE6DFB" w14:textId="337E8826" w:rsidR="00196459" w:rsidRPr="00196459" w:rsidRDefault="00196459" w:rsidP="00196459">
      <w:pPr>
        <w:ind w:firstLine="357"/>
        <w:rPr>
          <w:lang w:val="en-US"/>
        </w:rPr>
      </w:pPr>
      <w:r w:rsidRPr="00196459">
        <w:rPr>
          <w:lang w:val="en-US"/>
        </w:rPr>
        <w:t xml:space="preserve">In recent years, the topic of global warming has gained the most traction in public discourse. Oil, gas, and coal make up 84% of the world's energy requirements. For a very long time, it has been thought that the usage of fossil fuels and human dependence have major effects on climate change </w:t>
      </w:r>
      <w:r w:rsidR="00617CA9">
        <w:rPr>
          <w:lang w:val="en-US"/>
        </w:rPr>
        <w:t>(</w:t>
      </w:r>
      <w:r w:rsidR="00617CA9" w:rsidRPr="009D433A">
        <w:rPr>
          <w:rFonts w:eastAsia="MS Mincho"/>
          <w:szCs w:val="20"/>
          <w:lang w:val="en-US"/>
        </w:rPr>
        <w:t>Pang</w:t>
      </w:r>
      <w:r w:rsidR="00617CA9">
        <w:rPr>
          <w:rFonts w:eastAsia="MS Mincho"/>
          <w:szCs w:val="20"/>
          <w:lang w:val="en-US"/>
        </w:rPr>
        <w:t>, 2014)</w:t>
      </w:r>
      <w:r w:rsidRPr="00196459">
        <w:rPr>
          <w:lang w:val="en-US"/>
        </w:rPr>
        <w:t>. The 2015 Paris Agreement was adopted by signatory nations to the UNFCCC (United Nations Framework Convention on Climate Change) at the 21st Climate Change Conference (COP21) in Paris, France. The major goals of the agreement are to keep the increase in global temperature below 2°C from pre-industrial levels and work towards keeping it below 1.5°C. Every nation has made a commitment to cutting greenhouse</w:t>
      </w:r>
      <w:r>
        <w:rPr>
          <w:lang w:val="en-US"/>
        </w:rPr>
        <w:t xml:space="preserve"> </w:t>
      </w:r>
      <w:r w:rsidRPr="00196459">
        <w:rPr>
          <w:lang w:val="en-US"/>
        </w:rPr>
        <w:t xml:space="preserve">gas (GHG) emissions and taking other actions in response to the effects of climate change. By 2060, Net Zero Emission (NZE) is the desired outcome </w:t>
      </w:r>
      <w:r w:rsidR="00617CA9">
        <w:rPr>
          <w:lang w:val="en-US"/>
        </w:rPr>
        <w:t>(</w:t>
      </w:r>
      <w:r w:rsidR="00617CA9" w:rsidRPr="009D433A">
        <w:rPr>
          <w:rFonts w:eastAsia="MS Mincho"/>
          <w:szCs w:val="20"/>
          <w:lang w:val="en-US"/>
        </w:rPr>
        <w:t>UNFCC</w:t>
      </w:r>
      <w:r w:rsidR="00617CA9">
        <w:rPr>
          <w:rFonts w:eastAsia="MS Mincho"/>
          <w:szCs w:val="20"/>
          <w:lang w:val="en-US"/>
        </w:rPr>
        <w:t>, 2015)</w:t>
      </w:r>
      <w:r w:rsidRPr="00196459">
        <w:rPr>
          <w:lang w:val="en-US"/>
        </w:rPr>
        <w:t>.</w:t>
      </w:r>
    </w:p>
    <w:p w14:paraId="3C5E1425" w14:textId="3381C5E2" w:rsidR="00196459" w:rsidRPr="00196459" w:rsidRDefault="00196459" w:rsidP="00196459">
      <w:pPr>
        <w:ind w:firstLine="357"/>
        <w:rPr>
          <w:lang w:val="en-US"/>
        </w:rPr>
      </w:pPr>
      <w:r w:rsidRPr="00196459">
        <w:rPr>
          <w:lang w:val="en-US"/>
        </w:rPr>
        <w:t xml:space="preserve">Biomass has been recognized as a potential energy source for the future </w:t>
      </w:r>
      <w:r w:rsidR="00617CA9">
        <w:rPr>
          <w:lang w:val="en-US"/>
        </w:rPr>
        <w:t>(</w:t>
      </w:r>
      <w:r w:rsidR="00617CA9" w:rsidRPr="009D433A">
        <w:rPr>
          <w:rFonts w:eastAsia="MS Mincho"/>
          <w:szCs w:val="20"/>
          <w:lang w:val="en-US"/>
        </w:rPr>
        <w:t>Klass</w:t>
      </w:r>
      <w:r w:rsidR="00617CA9">
        <w:rPr>
          <w:rFonts w:eastAsia="MS Mincho"/>
          <w:szCs w:val="20"/>
          <w:lang w:val="en-US"/>
        </w:rPr>
        <w:t>, 1998)</w:t>
      </w:r>
      <w:r w:rsidRPr="00196459">
        <w:rPr>
          <w:lang w:val="en-US"/>
        </w:rPr>
        <w:t xml:space="preserve">. A renewable energy source utilized to lower greenhouse gas emissions is biomass </w:t>
      </w:r>
      <w:r w:rsidR="00617CA9">
        <w:rPr>
          <w:lang w:val="en-US"/>
        </w:rPr>
        <w:t>(</w:t>
      </w:r>
      <w:r w:rsidR="00617CA9" w:rsidRPr="009D433A">
        <w:rPr>
          <w:rFonts w:eastAsia="MS Mincho"/>
          <w:szCs w:val="20"/>
          <w:lang w:val="en-US"/>
        </w:rPr>
        <w:t>Bhuiyan</w:t>
      </w:r>
      <w:r w:rsidR="00617CA9">
        <w:rPr>
          <w:rFonts w:eastAsia="MS Mincho"/>
          <w:szCs w:val="20"/>
          <w:lang w:val="en-US"/>
        </w:rPr>
        <w:t xml:space="preserve"> </w:t>
      </w:r>
      <w:r w:rsidR="00423F4D">
        <w:rPr>
          <w:rFonts w:eastAsia="MS Mincho"/>
          <w:szCs w:val="20"/>
          <w:lang w:val="en-US"/>
        </w:rPr>
        <w:t>dkk.</w:t>
      </w:r>
      <w:r w:rsidR="00617CA9">
        <w:rPr>
          <w:rFonts w:eastAsia="MS Mincho"/>
          <w:szCs w:val="20"/>
          <w:lang w:val="en-US"/>
        </w:rPr>
        <w:t>, 2018)</w:t>
      </w:r>
      <w:r w:rsidRPr="00196459">
        <w:rPr>
          <w:lang w:val="en-US"/>
        </w:rPr>
        <w:t xml:space="preserve">. In coal-fired power plants, biomass has long been used as a cofiring fuel, and the use is growing </w:t>
      </w:r>
      <w:r w:rsidR="00287CB5" w:rsidRPr="00287CB5">
        <w:rPr>
          <w:lang w:val="en-US"/>
        </w:rPr>
        <w:t xml:space="preserve">(Bhuiyan </w:t>
      </w:r>
      <w:r w:rsidR="00423F4D">
        <w:rPr>
          <w:lang w:val="en-US"/>
        </w:rPr>
        <w:t>dkk.</w:t>
      </w:r>
      <w:r w:rsidR="00287CB5" w:rsidRPr="00287CB5">
        <w:rPr>
          <w:lang w:val="en-US"/>
        </w:rPr>
        <w:t xml:space="preserve">, 2018; Barnes, 2015; Gil </w:t>
      </w:r>
      <w:r w:rsidR="00423F4D">
        <w:rPr>
          <w:lang w:val="en-US"/>
        </w:rPr>
        <w:t>dan</w:t>
      </w:r>
      <w:r w:rsidR="00287CB5" w:rsidRPr="00287CB5">
        <w:rPr>
          <w:lang w:val="en-US"/>
        </w:rPr>
        <w:t xml:space="preserve"> Rubiera, 2019)</w:t>
      </w:r>
      <w:r w:rsidRPr="00196459">
        <w:rPr>
          <w:lang w:val="en-US"/>
        </w:rPr>
        <w:t xml:space="preserve">. </w:t>
      </w:r>
      <w:r w:rsidR="00423F4D">
        <w:rPr>
          <w:lang w:val="en-US"/>
        </w:rPr>
        <w:t xml:space="preserve">About </w:t>
      </w:r>
      <w:r w:rsidRPr="00196459">
        <w:rPr>
          <w:lang w:val="en-US"/>
        </w:rPr>
        <w:t xml:space="preserve">10% of the world's total energy demand is currently met by biomass use, and this percentage is expected to rise </w:t>
      </w:r>
      <w:r w:rsidR="00BB1954">
        <w:rPr>
          <w:lang w:val="en-US"/>
        </w:rPr>
        <w:t>(</w:t>
      </w:r>
      <w:r w:rsidR="00BB1954" w:rsidRPr="009D433A">
        <w:rPr>
          <w:rFonts w:eastAsia="MS Mincho"/>
          <w:szCs w:val="20"/>
          <w:lang w:val="en-US"/>
        </w:rPr>
        <w:t>Stenström</w:t>
      </w:r>
      <w:r w:rsidR="00BB1954">
        <w:rPr>
          <w:rFonts w:eastAsia="MS Mincho"/>
          <w:szCs w:val="20"/>
          <w:lang w:val="en-US"/>
        </w:rPr>
        <w:t>, 2006)</w:t>
      </w:r>
      <w:r w:rsidRPr="00196459">
        <w:rPr>
          <w:lang w:val="en-US"/>
        </w:rPr>
        <w:t>.</w:t>
      </w:r>
    </w:p>
    <w:p w14:paraId="0037A0BE" w14:textId="26A1D061" w:rsidR="00196459" w:rsidRDefault="00196459" w:rsidP="00196459">
      <w:pPr>
        <w:ind w:firstLine="357"/>
        <w:rPr>
          <w:lang w:val="en-US"/>
        </w:rPr>
      </w:pPr>
      <w:r w:rsidRPr="00196459">
        <w:rPr>
          <w:lang w:val="en-US"/>
        </w:rPr>
        <w:t xml:space="preserve">PT. PLN is committed to optimizing fuel costs and supporting the energy transition through a cofiring program with a target of 23% NRE by 2025. Biomass cofiring is one of the breakthrough programs of the government and PT. PLN (Persero) to support the advancement of the renewable energy mix in Indonesia. Pelabuhan Ratu uses sawdust as coal co- firing. Based on the PLN's Cofiring roadmap as shown in </w:t>
      </w:r>
      <w:hyperlink w:anchor="_bookmark0" w:history="1">
        <w:r w:rsidR="006C3C96" w:rsidRPr="006C3C96">
          <w:rPr>
            <w:rStyle w:val="Hyperlink"/>
            <w:color w:val="auto"/>
            <w:u w:val="none"/>
            <w:lang w:val="en-US"/>
          </w:rPr>
          <w:t>Figure</w:t>
        </w:r>
      </w:hyperlink>
      <w:r w:rsidRPr="00196459">
        <w:rPr>
          <w:lang w:val="en-US"/>
        </w:rPr>
        <w:t xml:space="preserve"> </w:t>
      </w:r>
      <w:hyperlink w:anchor="_bookmark0" w:history="1">
        <w:r w:rsidRPr="00196459">
          <w:rPr>
            <w:rStyle w:val="Hyperlink"/>
            <w:color w:val="auto"/>
            <w:u w:val="none"/>
            <w:lang w:val="en-US"/>
          </w:rPr>
          <w:t>1,</w:t>
        </w:r>
      </w:hyperlink>
      <w:r w:rsidRPr="00196459">
        <w:rPr>
          <w:lang w:val="en-US"/>
        </w:rPr>
        <w:t xml:space="preserve"> Coal-Fired Power plants designated as Cofiring plants will be given continuous targets to support the achievement of net zero emissions in 2060. Of course, a breakthrough is needed to support the target set.</w:t>
      </w:r>
    </w:p>
    <w:p w14:paraId="09F8F9AC" w14:textId="77777777" w:rsidR="006C3C96" w:rsidRPr="006C3C96" w:rsidRDefault="006C3C96" w:rsidP="006C3C96">
      <w:pPr>
        <w:pStyle w:val="Paragraph"/>
        <w:ind w:firstLine="0"/>
      </w:pPr>
    </w:p>
    <w:p w14:paraId="7F8B9414" w14:textId="6A817122" w:rsidR="002B15FD" w:rsidRDefault="002B15FD" w:rsidP="006C3C96">
      <w:pPr>
        <w:pStyle w:val="Paragraph"/>
        <w:ind w:firstLine="0"/>
        <w:jc w:val="center"/>
      </w:pPr>
      <w:r>
        <w:rPr>
          <w:noProof/>
        </w:rPr>
        <w:drawing>
          <wp:inline distT="0" distB="0" distL="0" distR="0" wp14:anchorId="03721527" wp14:editId="2177DDEF">
            <wp:extent cx="3168000" cy="1615548"/>
            <wp:effectExtent l="0" t="0" r="0" b="3810"/>
            <wp:docPr id="1203740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000" cy="1615548"/>
                    </a:xfrm>
                    <a:prstGeom prst="rect">
                      <a:avLst/>
                    </a:prstGeom>
                    <a:noFill/>
                  </pic:spPr>
                </pic:pic>
              </a:graphicData>
            </a:graphic>
          </wp:inline>
        </w:drawing>
      </w:r>
    </w:p>
    <w:p w14:paraId="1E90130E" w14:textId="3EE3DA79" w:rsidR="002B15FD" w:rsidRPr="00196459" w:rsidRDefault="002B15FD" w:rsidP="002B15FD">
      <w:pPr>
        <w:pStyle w:val="Caption"/>
        <w:rPr>
          <w:lang w:val="en-US"/>
        </w:rPr>
      </w:pPr>
      <w:r>
        <w:t xml:space="preserve">Figure </w:t>
      </w:r>
      <w:r>
        <w:fldChar w:fldCharType="begin"/>
      </w:r>
      <w:r>
        <w:instrText xml:space="preserve"> SEQ Figure \* ARABIC </w:instrText>
      </w:r>
      <w:r>
        <w:fldChar w:fldCharType="separate"/>
      </w:r>
      <w:r w:rsidR="00401700">
        <w:rPr>
          <w:noProof/>
        </w:rPr>
        <w:t>1</w:t>
      </w:r>
      <w:r>
        <w:fldChar w:fldCharType="end"/>
      </w:r>
      <w:r>
        <w:t xml:space="preserve">. </w:t>
      </w:r>
      <w:r w:rsidRPr="00183576">
        <w:t>PT. PLN (Persero) cofiring roadmap</w:t>
      </w:r>
    </w:p>
    <w:p w14:paraId="0C934740" w14:textId="19295339" w:rsidR="00196459" w:rsidRDefault="00196459" w:rsidP="00196459">
      <w:pPr>
        <w:ind w:firstLine="357"/>
        <w:rPr>
          <w:lang w:val="en-US"/>
        </w:rPr>
      </w:pPr>
      <w:r w:rsidRPr="00196459">
        <w:rPr>
          <w:lang w:val="en-US"/>
        </w:rPr>
        <w:t xml:space="preserve">Pelabuhan Ratu Power Plant has been conducting a cofiring program since 2021, but the sawdust combustion test was done at the end of 2020. The sawdust combustion test was carried out on December 10, 2020, and Go Live Cofiring started on May 29, 2021, with 3-5% sawdust. </w:t>
      </w:r>
      <w:hyperlink w:anchor="_bookmark1" w:history="1">
        <w:r w:rsidR="006C3C96" w:rsidRPr="006C3C96">
          <w:rPr>
            <w:rStyle w:val="Hyperlink"/>
            <w:color w:val="auto"/>
            <w:u w:val="none"/>
            <w:lang w:val="en-US"/>
          </w:rPr>
          <w:t>Figure</w:t>
        </w:r>
        <w:r w:rsidRPr="006C3C96">
          <w:rPr>
            <w:rStyle w:val="Hyperlink"/>
            <w:color w:val="auto"/>
            <w:u w:val="none"/>
            <w:lang w:val="en-US"/>
          </w:rPr>
          <w:t xml:space="preserve"> 2</w:t>
        </w:r>
      </w:hyperlink>
      <w:r w:rsidRPr="006C3C96">
        <w:rPr>
          <w:lang w:val="en-US"/>
        </w:rPr>
        <w:t xml:space="preserve"> </w:t>
      </w:r>
      <w:r w:rsidRPr="00196459">
        <w:rPr>
          <w:lang w:val="en-US"/>
        </w:rPr>
        <w:t>shows the conventional blending method in Pelabuhan Ratu Power Plant. Pelabuhan Ratu uses sawdust as coal cofiring, because there are many wood processing industries around Pelabuhan</w:t>
      </w:r>
      <w:r>
        <w:rPr>
          <w:lang w:val="en-US"/>
        </w:rPr>
        <w:t xml:space="preserve"> </w:t>
      </w:r>
      <w:r w:rsidRPr="00196459">
        <w:rPr>
          <w:lang w:val="en-US"/>
        </w:rPr>
        <w:t>Ratu that produce large amounts of wood waste. The wood waste is very potential for cofiring material. Sawdust from wood waste is tested in the laboratory and the results are suitable for cofiring.</w:t>
      </w:r>
    </w:p>
    <w:p w14:paraId="786E9728" w14:textId="77777777" w:rsidR="006C3C96" w:rsidRPr="006C3C96" w:rsidRDefault="006C3C96" w:rsidP="006C3C96">
      <w:pPr>
        <w:pStyle w:val="Paragraph"/>
      </w:pPr>
    </w:p>
    <w:p w14:paraId="67B9C514" w14:textId="23E4B3C1" w:rsidR="002B15FD" w:rsidRDefault="002B15FD" w:rsidP="006C3C96">
      <w:pPr>
        <w:pStyle w:val="Paragraph"/>
        <w:ind w:firstLine="0"/>
        <w:jc w:val="center"/>
      </w:pPr>
      <w:r>
        <w:rPr>
          <w:noProof/>
        </w:rPr>
        <w:lastRenderedPageBreak/>
        <w:drawing>
          <wp:inline distT="0" distB="0" distL="0" distR="0" wp14:anchorId="614EDD31" wp14:editId="43602BDB">
            <wp:extent cx="3168000" cy="2369547"/>
            <wp:effectExtent l="0" t="0" r="0" b="0"/>
            <wp:docPr id="1633385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8000" cy="2369547"/>
                    </a:xfrm>
                    <a:prstGeom prst="rect">
                      <a:avLst/>
                    </a:prstGeom>
                    <a:noFill/>
                  </pic:spPr>
                </pic:pic>
              </a:graphicData>
            </a:graphic>
          </wp:inline>
        </w:drawing>
      </w:r>
    </w:p>
    <w:p w14:paraId="4D2083F7" w14:textId="0E89CF54" w:rsidR="002B15FD" w:rsidRPr="002B15FD" w:rsidRDefault="002B15FD" w:rsidP="002B15FD">
      <w:pPr>
        <w:pStyle w:val="Caption"/>
        <w:rPr>
          <w:lang w:val="en-US"/>
        </w:rPr>
      </w:pPr>
      <w:r>
        <w:t xml:space="preserve">Figure </w:t>
      </w:r>
      <w:r>
        <w:fldChar w:fldCharType="begin"/>
      </w:r>
      <w:r>
        <w:instrText xml:space="preserve"> SEQ Figure \* ARABIC </w:instrText>
      </w:r>
      <w:r>
        <w:fldChar w:fldCharType="separate"/>
      </w:r>
      <w:r w:rsidR="00401700">
        <w:rPr>
          <w:noProof/>
        </w:rPr>
        <w:t>2</w:t>
      </w:r>
      <w:r>
        <w:fldChar w:fldCharType="end"/>
      </w:r>
      <w:r>
        <w:t>.</w:t>
      </w:r>
      <w:r w:rsidRPr="00C63F34">
        <w:t xml:space="preserve"> Coal-biomass blending in the coal yard</w:t>
      </w:r>
    </w:p>
    <w:p w14:paraId="09210D0A" w14:textId="77777777" w:rsidR="00196459" w:rsidRPr="00196459" w:rsidRDefault="00196459" w:rsidP="00196459">
      <w:pPr>
        <w:ind w:firstLine="357"/>
        <w:rPr>
          <w:lang w:val="en-US"/>
        </w:rPr>
      </w:pPr>
      <w:r w:rsidRPr="00196459">
        <w:rPr>
          <w:lang w:val="en-US"/>
        </w:rPr>
        <w:t>The old conventional blending gives several disadvantages, such as difficult handling with heavy equipment, low flexibility of cofiring execution (strict time- based), high additional cost for heavy equipment (approx. USD 158,509.23), long blending process duration (5 hours per day), and inhomogeneous &amp; inconsistent of the blended product, and pulverizer blocking (8 events in 2021 equivalent to losses USD 164,876.10). In addition, low calorific value of the blended product during cofiring and lack of fuel stock management, leading to the derating of electricity generation (11,320 MWh in 2021). Therefore, digitized fuel stock management was developed to overcome this problem.</w:t>
      </w:r>
    </w:p>
    <w:p w14:paraId="53FDE13E" w14:textId="4CF188A1" w:rsidR="00196459" w:rsidRDefault="00196459" w:rsidP="00196459">
      <w:pPr>
        <w:ind w:firstLine="357"/>
        <w:rPr>
          <w:lang w:val="en-US"/>
        </w:rPr>
      </w:pPr>
      <w:r w:rsidRPr="00196459">
        <w:rPr>
          <w:lang w:val="en-US"/>
        </w:rPr>
        <w:t xml:space="preserve">Incorrect determination of the blending ratio and calorific value of blended products will greatly impact electricity generation. </w:t>
      </w:r>
      <w:hyperlink w:anchor="_bookmark2" w:history="1">
        <w:r w:rsidR="006C3C96" w:rsidRPr="006C3C96">
          <w:rPr>
            <w:rStyle w:val="Hyperlink"/>
            <w:color w:val="auto"/>
            <w:u w:val="none"/>
            <w:lang w:val="en-US"/>
          </w:rPr>
          <w:t>Figure</w:t>
        </w:r>
        <w:r w:rsidRPr="00196459">
          <w:rPr>
            <w:rStyle w:val="Hyperlink"/>
            <w:color w:val="auto"/>
            <w:u w:val="none"/>
            <w:lang w:val="en-US"/>
          </w:rPr>
          <w:t xml:space="preserve"> 3</w:t>
        </w:r>
      </w:hyperlink>
      <w:r w:rsidRPr="00196459">
        <w:rPr>
          <w:lang w:val="en-US"/>
        </w:rPr>
        <w:t xml:space="preserve"> shows that there is a difference between estimated calorific value of coal blending and lab test result in the period of 2016-2018. During this period, the average deviation value was 6.43% or blending accuracy is 93.57%. The allowable deviation is 2%. If it is below the power plant's demand, there will be derating due to under-calorie, while conversely, if it is above the demand, there will be the inefficiency of boiler combustion due to over-calorie and operational impacts such as overheating in the boiler. In 2021, there was a derating of electricity generation by 11,320 MWh because of low calorific value of blending result and lack of fuel stock management.</w:t>
      </w:r>
    </w:p>
    <w:p w14:paraId="08C1A05A" w14:textId="77777777" w:rsidR="002B15FD" w:rsidRDefault="002B15FD" w:rsidP="002B15FD">
      <w:pPr>
        <w:pStyle w:val="Paragraph"/>
      </w:pPr>
    </w:p>
    <w:p w14:paraId="05C6395F" w14:textId="0DE441EC" w:rsidR="002B15FD" w:rsidRDefault="002B15FD" w:rsidP="006C3C96">
      <w:pPr>
        <w:pStyle w:val="Paragraph"/>
        <w:ind w:firstLine="0"/>
        <w:jc w:val="center"/>
      </w:pPr>
      <w:r>
        <w:rPr>
          <w:noProof/>
        </w:rPr>
        <w:drawing>
          <wp:inline distT="0" distB="0" distL="0" distR="0" wp14:anchorId="6EED1CA3" wp14:editId="565DE80D">
            <wp:extent cx="3030220" cy="1268095"/>
            <wp:effectExtent l="0" t="0" r="0" b="8255"/>
            <wp:docPr id="1871127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220" cy="1268095"/>
                    </a:xfrm>
                    <a:prstGeom prst="rect">
                      <a:avLst/>
                    </a:prstGeom>
                    <a:noFill/>
                  </pic:spPr>
                </pic:pic>
              </a:graphicData>
            </a:graphic>
          </wp:inline>
        </w:drawing>
      </w:r>
    </w:p>
    <w:p w14:paraId="0AEBAD81" w14:textId="57E37127" w:rsidR="002B15FD" w:rsidRPr="00196459" w:rsidRDefault="002B15FD" w:rsidP="002B15FD">
      <w:pPr>
        <w:pStyle w:val="Caption"/>
        <w:rPr>
          <w:lang w:val="en-US"/>
        </w:rPr>
      </w:pPr>
      <w:r>
        <w:t xml:space="preserve">Figure </w:t>
      </w:r>
      <w:r>
        <w:fldChar w:fldCharType="begin"/>
      </w:r>
      <w:r>
        <w:instrText xml:space="preserve"> SEQ Figure \* ARABIC </w:instrText>
      </w:r>
      <w:r>
        <w:fldChar w:fldCharType="separate"/>
      </w:r>
      <w:r w:rsidR="00401700">
        <w:rPr>
          <w:noProof/>
        </w:rPr>
        <w:t>3</w:t>
      </w:r>
      <w:r>
        <w:fldChar w:fldCharType="end"/>
      </w:r>
      <w:r>
        <w:t xml:space="preserve">. </w:t>
      </w:r>
      <w:r w:rsidRPr="009B1746">
        <w:t>Estimated Value of Coal Blending and Lab Test (period of 2016 – 2018)</w:t>
      </w:r>
    </w:p>
    <w:p w14:paraId="0B308318" w14:textId="47221FA9" w:rsidR="00196459" w:rsidRPr="00196459" w:rsidRDefault="00196459" w:rsidP="00196459">
      <w:pPr>
        <w:ind w:firstLine="357"/>
        <w:rPr>
          <w:lang w:val="en-US"/>
        </w:rPr>
      </w:pPr>
      <w:r w:rsidRPr="00196459">
        <w:rPr>
          <w:lang w:val="en-US"/>
        </w:rPr>
        <w:t>Pelabuhan Ratu Power Plant is committed to achieve the yearly target of biomass utilization of 27,000 ton and MWh green production of 13,858 MWh. The blending method should be able to support target achievement. Thus, advance</w:t>
      </w:r>
      <w:r>
        <w:rPr>
          <w:lang w:val="en-US"/>
        </w:rPr>
        <w:t xml:space="preserve"> c</w:t>
      </w:r>
      <w:r w:rsidRPr="00196459">
        <w:rPr>
          <w:lang w:val="en-US"/>
        </w:rPr>
        <w:t>oal-biomas blend was developed and implemented to give higher flexibility &amp; reliability of cofiring program execution. In 2021, there was a derating of electricity generation by 11,320 MWh because of low calorific value of blending result and lack of fuel stock management. In 2022, the derating should be lower than last year record.</w:t>
      </w:r>
    </w:p>
    <w:p w14:paraId="5F21E60A" w14:textId="77777777" w:rsidR="00196459" w:rsidRPr="00196459" w:rsidRDefault="00196459" w:rsidP="00196459">
      <w:pPr>
        <w:ind w:firstLine="357"/>
        <w:rPr>
          <w:lang w:val="en-US"/>
        </w:rPr>
      </w:pPr>
      <w:r w:rsidRPr="00196459">
        <w:rPr>
          <w:lang w:val="en-US"/>
        </w:rPr>
        <w:t>This work aims to overcome the problems that occur when doing conventional blending methods so that biomass usage and green energy production can be increased. Fuel stock management aims to improve the accuracy of coal and biomass blending so that derating of electricity generation can be avoided.</w:t>
      </w:r>
    </w:p>
    <w:p w14:paraId="75F41F31" w14:textId="77777777" w:rsidR="002B15FD" w:rsidRPr="001D4BB2" w:rsidRDefault="002B15FD" w:rsidP="001D4BB2">
      <w:pPr>
        <w:pStyle w:val="Paragraph"/>
        <w:ind w:left="357"/>
        <w:rPr>
          <w:iCs/>
          <w:lang w:val="id-ID"/>
        </w:rPr>
      </w:pPr>
    </w:p>
    <w:p w14:paraId="081DF946" w14:textId="7E47E578" w:rsidR="00404ABB" w:rsidRPr="00404ABB" w:rsidRDefault="002B15FD" w:rsidP="00404ABB">
      <w:pPr>
        <w:pStyle w:val="Subtitle"/>
      </w:pPr>
      <w:r w:rsidRPr="002B15FD">
        <w:lastRenderedPageBreak/>
        <w:t>METHODS</w:t>
      </w:r>
    </w:p>
    <w:p w14:paraId="00B3EDD4" w14:textId="56332694" w:rsidR="002B15FD" w:rsidRPr="002B15FD" w:rsidRDefault="002B15FD">
      <w:pPr>
        <w:pStyle w:val="Heading2"/>
        <w:numPr>
          <w:ilvl w:val="1"/>
          <w:numId w:val="5"/>
        </w:numPr>
        <w:ind w:left="450" w:hanging="450"/>
      </w:pPr>
      <w:r w:rsidRPr="002B15FD">
        <w:t>Conventional Method</w:t>
      </w:r>
    </w:p>
    <w:p w14:paraId="11B7A187" w14:textId="7344B7E8" w:rsidR="002B15FD" w:rsidRDefault="002B15FD" w:rsidP="002B15FD">
      <w:pPr>
        <w:ind w:firstLine="357"/>
        <w:rPr>
          <w:lang w:val="en-US"/>
        </w:rPr>
      </w:pPr>
      <w:r w:rsidRPr="002B15FD">
        <w:rPr>
          <w:lang w:val="en-US"/>
        </w:rPr>
        <w:t xml:space="preserve">The percentage of sawdust cofiring is about 3-5%. At that time, the blending of coal and biomass used conventional methods. </w:t>
      </w:r>
      <w:hyperlink w:anchor="_bookmark3" w:history="1">
        <w:r w:rsidR="006C3C96" w:rsidRPr="006C3C96">
          <w:rPr>
            <w:rStyle w:val="Hyperlink"/>
            <w:color w:val="auto"/>
            <w:u w:val="none"/>
            <w:lang w:val="en-US"/>
          </w:rPr>
          <w:t>Figure</w:t>
        </w:r>
        <w:r w:rsidRPr="002B15FD">
          <w:rPr>
            <w:rStyle w:val="Hyperlink"/>
            <w:color w:val="auto"/>
            <w:u w:val="none"/>
            <w:lang w:val="en-US"/>
          </w:rPr>
          <w:t xml:space="preserve"> 4</w:t>
        </w:r>
      </w:hyperlink>
      <w:r w:rsidR="006C3C96" w:rsidRPr="006C3C96">
        <w:t xml:space="preserve">. </w:t>
      </w:r>
      <w:r w:rsidRPr="002B15FD">
        <w:rPr>
          <w:lang w:val="en-US"/>
        </w:rPr>
        <w:t>(a) shows that coal and sawdust are placed in a dedicated area in the fuel yard, and coal-sawdust mixing is carried out with the help of heavy equipment such as excavators and bulldozers. The amount of coal and sawdust composition has been determined according to the plan.</w:t>
      </w:r>
    </w:p>
    <w:p w14:paraId="4CBC84C5" w14:textId="4B9D1237" w:rsidR="002B15FD" w:rsidRPr="006C3C96" w:rsidRDefault="002B15FD">
      <w:pPr>
        <w:pStyle w:val="Heading2"/>
        <w:numPr>
          <w:ilvl w:val="1"/>
          <w:numId w:val="5"/>
        </w:numPr>
        <w:ind w:left="450" w:hanging="450"/>
        <w:rPr>
          <w:lang w:val="en-US"/>
        </w:rPr>
      </w:pPr>
      <w:r w:rsidRPr="006C3C96">
        <w:rPr>
          <w:lang w:val="en-US"/>
        </w:rPr>
        <w:t>Advance Method</w:t>
      </w:r>
    </w:p>
    <w:p w14:paraId="63F4CEED" w14:textId="54C34AB2" w:rsidR="002B15FD" w:rsidRDefault="002B15FD" w:rsidP="002B15FD">
      <w:pPr>
        <w:ind w:firstLine="357"/>
        <w:rPr>
          <w:lang w:val="en-US"/>
        </w:rPr>
      </w:pPr>
      <w:r w:rsidRPr="002B15FD">
        <w:rPr>
          <w:lang w:val="en-US"/>
        </w:rPr>
        <w:t>In early 2022, Pelabuhan Ratu Power Plant conducted an experiment of innovation on the coal-biomass blending method in the belt conveyor. The unblended biomass remained in the dedicated fuel yard. Unblended biomass is reclaimed straight from the dedicated biomass area using the Stacker Reclaimer (line B). Meanwhile, conveyor belt line A was filled with coal. Each belt conveyor line is equipped with</w:t>
      </w:r>
      <w:r>
        <w:rPr>
          <w:lang w:val="en-US"/>
        </w:rPr>
        <w:t xml:space="preserve"> </w:t>
      </w:r>
      <w:r w:rsidRPr="002B15FD">
        <w:rPr>
          <w:lang w:val="en-US"/>
        </w:rPr>
        <w:t xml:space="preserve">a belt scale (flow rate sensor). The coal and biomass ratio can be adjusted by regulating the flow rate of each line. Coal and biomass blend and mix at the Retractable Head Pulley (RHP) as shown in </w:t>
      </w:r>
      <w:hyperlink w:anchor="_bookmark3" w:history="1">
        <w:r w:rsidR="006C3C96" w:rsidRPr="006C3C96">
          <w:rPr>
            <w:rStyle w:val="Hyperlink"/>
            <w:color w:val="auto"/>
            <w:u w:val="none"/>
            <w:lang w:val="en-US"/>
          </w:rPr>
          <w:t>Figure</w:t>
        </w:r>
        <w:r w:rsidRPr="006C3C96">
          <w:rPr>
            <w:rStyle w:val="Hyperlink"/>
            <w:color w:val="auto"/>
            <w:u w:val="none"/>
            <w:lang w:val="en-US"/>
          </w:rPr>
          <w:t xml:space="preserve"> 4</w:t>
        </w:r>
      </w:hyperlink>
      <w:r w:rsidR="006C3C96">
        <w:rPr>
          <w:lang w:val="en-US"/>
        </w:rPr>
        <w:t xml:space="preserve">. </w:t>
      </w:r>
      <w:r w:rsidRPr="006C3C96">
        <w:rPr>
          <w:lang w:val="en-US"/>
        </w:rPr>
        <w:t>(b).</w:t>
      </w:r>
    </w:p>
    <w:p w14:paraId="7A6C0F41" w14:textId="3ED6E0D0" w:rsidR="002B15FD" w:rsidRDefault="002B15FD" w:rsidP="006C3C96">
      <w:pPr>
        <w:pStyle w:val="Paragraph"/>
        <w:ind w:firstLine="0"/>
        <w:jc w:val="center"/>
      </w:pPr>
      <w:r>
        <w:rPr>
          <w:noProof/>
        </w:rPr>
        <w:drawing>
          <wp:inline distT="0" distB="0" distL="0" distR="0" wp14:anchorId="6A928638" wp14:editId="79013839">
            <wp:extent cx="3096895" cy="4194175"/>
            <wp:effectExtent l="0" t="0" r="8255" b="0"/>
            <wp:docPr id="393732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895" cy="4194175"/>
                    </a:xfrm>
                    <a:prstGeom prst="rect">
                      <a:avLst/>
                    </a:prstGeom>
                    <a:noFill/>
                  </pic:spPr>
                </pic:pic>
              </a:graphicData>
            </a:graphic>
          </wp:inline>
        </w:drawing>
      </w:r>
    </w:p>
    <w:p w14:paraId="56640FCA" w14:textId="2F97285D" w:rsidR="002B15FD" w:rsidRDefault="002B15FD" w:rsidP="002B15FD">
      <w:pPr>
        <w:pStyle w:val="Caption"/>
      </w:pPr>
      <w:r>
        <w:t xml:space="preserve">Figure </w:t>
      </w:r>
      <w:r>
        <w:fldChar w:fldCharType="begin"/>
      </w:r>
      <w:r>
        <w:instrText xml:space="preserve"> SEQ Figure \* ARABIC </w:instrText>
      </w:r>
      <w:r>
        <w:fldChar w:fldCharType="separate"/>
      </w:r>
      <w:r w:rsidR="00401700">
        <w:rPr>
          <w:noProof/>
        </w:rPr>
        <w:t>4</w:t>
      </w:r>
      <w:r>
        <w:fldChar w:fldCharType="end"/>
      </w:r>
      <w:r>
        <w:t xml:space="preserve">. </w:t>
      </w:r>
      <w:r w:rsidRPr="00BA50FF">
        <w:t>Schematic of (a) Conventional Method and (b) Advance Method</w:t>
      </w:r>
    </w:p>
    <w:p w14:paraId="706BBB48" w14:textId="77777777" w:rsidR="006C3C96" w:rsidRPr="006C3C96" w:rsidRDefault="006C3C96" w:rsidP="006C3C96">
      <w:pPr>
        <w:rPr>
          <w:lang w:val="en-US"/>
        </w:rPr>
      </w:pPr>
    </w:p>
    <w:p w14:paraId="41B33B94" w14:textId="3806EB71" w:rsidR="002B15FD" w:rsidRPr="006C3C96" w:rsidRDefault="002B15FD">
      <w:pPr>
        <w:pStyle w:val="Heading2"/>
        <w:numPr>
          <w:ilvl w:val="1"/>
          <w:numId w:val="5"/>
        </w:numPr>
        <w:ind w:left="450" w:hanging="450"/>
        <w:rPr>
          <w:lang w:val="en-US"/>
        </w:rPr>
      </w:pPr>
      <w:r w:rsidRPr="006C3C96">
        <w:rPr>
          <w:lang w:val="en-US"/>
        </w:rPr>
        <w:t>Fuel Stock Management</w:t>
      </w:r>
    </w:p>
    <w:p w14:paraId="140182AC" w14:textId="51D4E138" w:rsidR="002B15FD" w:rsidRDefault="002B15FD" w:rsidP="002B15FD">
      <w:pPr>
        <w:ind w:firstLine="357"/>
        <w:rPr>
          <w:lang w:val="en-US"/>
        </w:rPr>
      </w:pPr>
      <w:r w:rsidRPr="002B15FD">
        <w:rPr>
          <w:lang w:val="en-US"/>
        </w:rPr>
        <w:t xml:space="preserve">Fuel stock management digitalization was developed to ensure an accurate &amp; precise blending ratio and uniformity in the selection of coal to be blended with biomass. It’s known that the characteristics of each coal and biomass are critical factors in determining the blending ratio. Therefore, we developed a web-based application to monitor in real-time the condition of coal and biomass for each supplier. The dashboard is shown in </w:t>
      </w:r>
      <w:hyperlink w:anchor="_bookmark4" w:history="1">
        <w:r w:rsidR="006C3C96" w:rsidRPr="006C3C96">
          <w:rPr>
            <w:rStyle w:val="Hyperlink"/>
            <w:color w:val="auto"/>
            <w:u w:val="none"/>
            <w:lang w:val="en-US"/>
          </w:rPr>
          <w:t>Figure</w:t>
        </w:r>
        <w:r w:rsidRPr="002B15FD">
          <w:rPr>
            <w:rStyle w:val="Hyperlink"/>
            <w:color w:val="auto"/>
            <w:u w:val="none"/>
            <w:lang w:val="en-US"/>
          </w:rPr>
          <w:t xml:space="preserve"> 5.</w:t>
        </w:r>
      </w:hyperlink>
      <w:r w:rsidRPr="002B15FD">
        <w:rPr>
          <w:lang w:val="en-US"/>
        </w:rPr>
        <w:t xml:space="preserve"> This application uses a genetic algorithm to find the best composition of two types of coal and biomass that will be blended. The variables used in the algorithm are calorific value, total moisture (TM), total sulfur (TS), and ash content.</w:t>
      </w:r>
    </w:p>
    <w:p w14:paraId="7CBB32A5" w14:textId="358470E4" w:rsidR="002B15FD" w:rsidRDefault="002B15FD" w:rsidP="006C3C96">
      <w:pPr>
        <w:pStyle w:val="Paragraph"/>
        <w:ind w:firstLine="0"/>
        <w:jc w:val="center"/>
      </w:pPr>
      <w:r>
        <w:rPr>
          <w:noProof/>
        </w:rPr>
        <w:lastRenderedPageBreak/>
        <w:drawing>
          <wp:inline distT="0" distB="0" distL="0" distR="0" wp14:anchorId="009AE489" wp14:editId="5D8974C6">
            <wp:extent cx="5616000" cy="3157694"/>
            <wp:effectExtent l="0" t="0" r="3810" b="5080"/>
            <wp:docPr id="104793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6000" cy="3157694"/>
                    </a:xfrm>
                    <a:prstGeom prst="rect">
                      <a:avLst/>
                    </a:prstGeom>
                    <a:noFill/>
                  </pic:spPr>
                </pic:pic>
              </a:graphicData>
            </a:graphic>
          </wp:inline>
        </w:drawing>
      </w:r>
    </w:p>
    <w:p w14:paraId="643D495A" w14:textId="6F9260AA" w:rsidR="002B15FD" w:rsidRPr="002B15FD" w:rsidRDefault="002B15FD" w:rsidP="002B15FD">
      <w:pPr>
        <w:pStyle w:val="Caption"/>
        <w:rPr>
          <w:lang w:val="en-US"/>
        </w:rPr>
      </w:pPr>
      <w:r>
        <w:t xml:space="preserve">Figure </w:t>
      </w:r>
      <w:r>
        <w:fldChar w:fldCharType="begin"/>
      </w:r>
      <w:r>
        <w:instrText xml:space="preserve"> SEQ Figure \* ARABIC </w:instrText>
      </w:r>
      <w:r>
        <w:fldChar w:fldCharType="separate"/>
      </w:r>
      <w:r w:rsidR="00401700">
        <w:rPr>
          <w:noProof/>
        </w:rPr>
        <w:t>5</w:t>
      </w:r>
      <w:r>
        <w:fldChar w:fldCharType="end"/>
      </w:r>
      <w:r>
        <w:t xml:space="preserve">. </w:t>
      </w:r>
      <w:r w:rsidRPr="00D7609C">
        <w:t>Fuel stock management dashboard</w:t>
      </w:r>
    </w:p>
    <w:p w14:paraId="447CEA1E" w14:textId="77777777" w:rsidR="006C3C96" w:rsidRDefault="006C3C96" w:rsidP="006C3C96">
      <w:pPr>
        <w:rPr>
          <w:lang w:val="en-US"/>
        </w:rPr>
      </w:pPr>
    </w:p>
    <w:p w14:paraId="18FEB529" w14:textId="502515FA" w:rsidR="002B15FD" w:rsidRPr="006C3C96" w:rsidRDefault="002B15FD">
      <w:pPr>
        <w:pStyle w:val="Heading2"/>
        <w:numPr>
          <w:ilvl w:val="1"/>
          <w:numId w:val="5"/>
        </w:numPr>
        <w:ind w:left="450" w:hanging="450"/>
        <w:rPr>
          <w:lang w:val="en-US"/>
        </w:rPr>
      </w:pPr>
      <w:r w:rsidRPr="006C3C96">
        <w:rPr>
          <w:lang w:val="en-US"/>
        </w:rPr>
        <w:t>Data Acquisiton &amp; Calculation</w:t>
      </w:r>
    </w:p>
    <w:p w14:paraId="7E78B3F7" w14:textId="77777777" w:rsidR="002B15FD" w:rsidRPr="002B15FD" w:rsidRDefault="002B15FD" w:rsidP="002B15FD">
      <w:pPr>
        <w:ind w:firstLine="357"/>
        <w:rPr>
          <w:lang w:val="en-US"/>
        </w:rPr>
      </w:pPr>
      <w:r w:rsidRPr="002B15FD">
        <w:rPr>
          <w:lang w:val="en-US"/>
        </w:rPr>
        <w:t>While using the conventional method, the weight of biomass is calculated based on the estimated unloading load of biomass from the truck. With the advanced method, the biomass weight is easily calculated with a flow meter installed on the belt conveyor. Blending quality monitoring was done by real-time monitoring of coal bunker feeding process with online analyzers and real-time SFC monitoring.</w:t>
      </w:r>
    </w:p>
    <w:p w14:paraId="773E5EE7" w14:textId="36382FE0" w:rsidR="002B15FD" w:rsidRPr="002B15FD" w:rsidRDefault="002B15FD" w:rsidP="002B15FD">
      <w:pPr>
        <w:ind w:firstLine="357"/>
        <w:rPr>
          <w:lang w:val="en-US"/>
        </w:rPr>
      </w:pPr>
      <w:r w:rsidRPr="002B15FD">
        <w:rPr>
          <w:lang w:val="en-US"/>
        </w:rPr>
        <w:t xml:space="preserve">GHG is consist of CO2, CH4, and N2O gases </w:t>
      </w:r>
      <w:r w:rsidR="00BB1954">
        <w:rPr>
          <w:lang w:val="en-US"/>
        </w:rPr>
        <w:t>(</w:t>
      </w:r>
      <w:r w:rsidR="00BB1954" w:rsidRPr="009D433A">
        <w:rPr>
          <w:rFonts w:eastAsia="MS Mincho"/>
          <w:szCs w:val="20"/>
          <w:lang w:val="en-US"/>
        </w:rPr>
        <w:t>IPCC</w:t>
      </w:r>
      <w:r w:rsidR="00BB1954">
        <w:rPr>
          <w:rFonts w:eastAsia="MS Mincho"/>
          <w:szCs w:val="20"/>
          <w:lang w:val="en-US"/>
        </w:rPr>
        <w:t>, 2006)</w:t>
      </w:r>
      <w:r w:rsidRPr="002B15FD">
        <w:rPr>
          <w:lang w:val="en-US"/>
        </w:rPr>
        <w:t>. GHG emission reduction can be calculated based on MWh green production each year. GHG emission are calculated using emission factors referring to the 2006 IPCC Guidelines for National Greenhouse Gas Inventories and Guidelines for Greenhouse Gas Inventory Calculation and Reporting (from Ministry of Energy and Mineral Resources). There are three Tiers presented in the 2006 IPCC Guidelines for estimating emissions from fossil fuel combustion. In addition a Reference Approach is presented. The Tier-1 method is fuel- based, since emissions from all sources of combustion can be estimated on the basis of the quantities of fuel combusted</w:t>
      </w:r>
      <w:r>
        <w:rPr>
          <w:lang w:val="en-US"/>
        </w:rPr>
        <w:t xml:space="preserve"> </w:t>
      </w:r>
      <w:r w:rsidRPr="002B15FD">
        <w:rPr>
          <w:lang w:val="en-US"/>
        </w:rPr>
        <w:t>(usually from national energy statistics) and average emission factors. Tier-1 emission factors are available for all relevant direct greenhouse gases.</w:t>
      </w:r>
    </w:p>
    <w:p w14:paraId="0E44FBD0" w14:textId="77777777" w:rsidR="002B15FD" w:rsidRPr="002703B9" w:rsidRDefault="002B15FD" w:rsidP="002703B9">
      <w:pPr>
        <w:pStyle w:val="Paragraph"/>
        <w:ind w:left="360" w:firstLine="0"/>
      </w:pPr>
    </w:p>
    <w:p w14:paraId="4E69B47F" w14:textId="7C255DDC" w:rsidR="00FE7A76" w:rsidRPr="00FE7A76" w:rsidRDefault="002B15FD" w:rsidP="00FE7A76">
      <w:pPr>
        <w:pStyle w:val="Subtitle"/>
      </w:pPr>
      <w:r w:rsidRPr="002B15FD">
        <w:t>RESULT &amp; DISCUSSION</w:t>
      </w:r>
    </w:p>
    <w:p w14:paraId="02CC673B" w14:textId="591D454A" w:rsidR="002B15FD" w:rsidRPr="002B15FD" w:rsidRDefault="002B15FD">
      <w:pPr>
        <w:pStyle w:val="Heading2"/>
        <w:numPr>
          <w:ilvl w:val="1"/>
          <w:numId w:val="6"/>
        </w:numPr>
        <w:ind w:left="450" w:hanging="450"/>
      </w:pPr>
      <w:r w:rsidRPr="002B15FD">
        <w:t>Biomass Utilization</w:t>
      </w:r>
    </w:p>
    <w:p w14:paraId="76A0EBA4" w14:textId="22536EFD" w:rsidR="002B15FD" w:rsidRDefault="002B15FD" w:rsidP="002B15FD">
      <w:pPr>
        <w:ind w:firstLine="357"/>
        <w:rPr>
          <w:lang w:val="en-US"/>
        </w:rPr>
      </w:pPr>
      <w:r w:rsidRPr="002B15FD">
        <w:rPr>
          <w:lang w:val="en-US"/>
        </w:rPr>
        <w:t xml:space="preserve">After implementation of advance coal-biomass blend, there was a significant increase in biomass utilization as shown in </w:t>
      </w:r>
      <w:hyperlink w:anchor="_bookmark5" w:history="1">
        <w:r w:rsidR="006C3C96" w:rsidRPr="006C3C96">
          <w:rPr>
            <w:rStyle w:val="Hyperlink"/>
            <w:color w:val="auto"/>
            <w:u w:val="none"/>
            <w:lang w:val="en-US"/>
          </w:rPr>
          <w:t>Figure</w:t>
        </w:r>
        <w:r w:rsidRPr="002B15FD">
          <w:rPr>
            <w:rStyle w:val="Hyperlink"/>
            <w:color w:val="auto"/>
            <w:u w:val="none"/>
            <w:lang w:val="en-US"/>
          </w:rPr>
          <w:t xml:space="preserve"> 6</w:t>
        </w:r>
      </w:hyperlink>
      <w:r w:rsidR="006C3C96">
        <w:rPr>
          <w:lang w:val="en-US"/>
        </w:rPr>
        <w:t>.</w:t>
      </w:r>
      <w:r w:rsidRPr="002B15FD">
        <w:rPr>
          <w:lang w:val="en-US"/>
        </w:rPr>
        <w:t xml:space="preserve"> Compared to daily average of biomass utilization in 2021, realization in 2022 and 2023 was increased by 157% and 276%, respectively. Meanwhile, the monthly average biomass utilization in 2022 and 2023 increased by 109% and 133%, respectively, compared to the 2021 realization. Annual biomass utilization in 2022 far exceeded that of 2021 or increased by 171%. As of June 20, 2023, the 2023 usage has exceeded the 2021 usage, which is 99.5% higher.</w:t>
      </w:r>
    </w:p>
    <w:p w14:paraId="234EC810" w14:textId="002C2C62" w:rsidR="00401700" w:rsidRDefault="00401700" w:rsidP="006C3C96">
      <w:pPr>
        <w:pStyle w:val="Paragraph"/>
        <w:ind w:firstLine="0"/>
        <w:jc w:val="center"/>
      </w:pPr>
      <w:r>
        <w:rPr>
          <w:noProof/>
        </w:rPr>
        <w:lastRenderedPageBreak/>
        <w:drawing>
          <wp:inline distT="0" distB="0" distL="0" distR="0" wp14:anchorId="1E6612EF" wp14:editId="230489EE">
            <wp:extent cx="2938780" cy="5383530"/>
            <wp:effectExtent l="0" t="0" r="0" b="7620"/>
            <wp:docPr id="1508369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8780" cy="5383530"/>
                    </a:xfrm>
                    <a:prstGeom prst="rect">
                      <a:avLst/>
                    </a:prstGeom>
                    <a:noFill/>
                  </pic:spPr>
                </pic:pic>
              </a:graphicData>
            </a:graphic>
          </wp:inline>
        </w:drawing>
      </w:r>
    </w:p>
    <w:p w14:paraId="4B64DC2C" w14:textId="75D5AE0F" w:rsidR="00401700" w:rsidRDefault="00401700" w:rsidP="00401700">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w:t>
      </w:r>
      <w:r w:rsidRPr="004F19BD">
        <w:t>Chart of (a) daily average, (b) monthly average, and (c) annual biomass utilization</w:t>
      </w:r>
    </w:p>
    <w:p w14:paraId="481D9DD4" w14:textId="77777777" w:rsidR="006C3C96" w:rsidRPr="002B15FD" w:rsidRDefault="006C3C96" w:rsidP="006C3C96">
      <w:pPr>
        <w:rPr>
          <w:lang w:val="en-US"/>
        </w:rPr>
      </w:pPr>
    </w:p>
    <w:p w14:paraId="167CEF0A" w14:textId="77777777" w:rsidR="002B15FD" w:rsidRDefault="002B15FD" w:rsidP="002B15FD">
      <w:pPr>
        <w:ind w:firstLine="357"/>
        <w:rPr>
          <w:lang w:val="en-US"/>
        </w:rPr>
      </w:pPr>
      <w:r w:rsidRPr="002B15FD">
        <w:rPr>
          <w:lang w:val="en-US"/>
        </w:rPr>
        <w:t>It should be noted that the data for 2023 is up to June 20, 2023 and there is still a possibility to increase biomass utilization until the end of the year.</w:t>
      </w:r>
    </w:p>
    <w:p w14:paraId="3C16CAAB" w14:textId="77777777" w:rsidR="006C3C96" w:rsidRPr="002B15FD" w:rsidRDefault="006C3C96" w:rsidP="006C3C96">
      <w:pPr>
        <w:pStyle w:val="Paragraph"/>
      </w:pPr>
    </w:p>
    <w:p w14:paraId="51EB11CC" w14:textId="1FA6E6DC" w:rsidR="002B15FD" w:rsidRPr="006C3C96" w:rsidRDefault="002B15FD">
      <w:pPr>
        <w:pStyle w:val="Heading2"/>
        <w:numPr>
          <w:ilvl w:val="1"/>
          <w:numId w:val="6"/>
        </w:numPr>
        <w:ind w:left="450" w:hanging="450"/>
        <w:rPr>
          <w:lang w:val="en-US"/>
        </w:rPr>
      </w:pPr>
      <w:r w:rsidRPr="006C3C96">
        <w:rPr>
          <w:lang w:val="en-US"/>
        </w:rPr>
        <w:t>Green Energy Production</w:t>
      </w:r>
    </w:p>
    <w:p w14:paraId="42169DAB" w14:textId="2F368ECD" w:rsidR="002B15FD" w:rsidRDefault="002B15FD" w:rsidP="002B15FD">
      <w:pPr>
        <w:ind w:firstLine="357"/>
      </w:pPr>
      <w:r w:rsidRPr="002B15FD">
        <w:rPr>
          <w:lang w:val="en-US"/>
        </w:rPr>
        <w:t xml:space="preserve">Green energy production is a key indicator of the success of biomass cofiring. With the innovations that have been made since 2022, there has been a significant increase in green energy production. Green energy production in 2022 increased 127% from 2021, while in 2023 it increased 255% from 2021 as shown in </w:t>
      </w:r>
      <w:hyperlink w:anchor="_bookmark6" w:history="1">
        <w:r w:rsidR="006C3C96" w:rsidRPr="006C3C96">
          <w:rPr>
            <w:rStyle w:val="Hyperlink"/>
            <w:color w:val="auto"/>
            <w:u w:val="none"/>
            <w:lang w:val="en-US"/>
          </w:rPr>
          <w:t>Figure</w:t>
        </w:r>
        <w:r w:rsidRPr="002B15FD">
          <w:rPr>
            <w:rStyle w:val="Hyperlink"/>
            <w:color w:val="auto"/>
            <w:u w:val="none"/>
            <w:lang w:val="en-US"/>
          </w:rPr>
          <w:t xml:space="preserve"> 7.</w:t>
        </w:r>
      </w:hyperlink>
    </w:p>
    <w:p w14:paraId="588BD355" w14:textId="77777777" w:rsidR="006C3C96" w:rsidRDefault="006C3C96" w:rsidP="006C3C96">
      <w:pPr>
        <w:pStyle w:val="Paragraph"/>
        <w:ind w:firstLine="0"/>
        <w:rPr>
          <w:lang w:val="id-ID"/>
        </w:rPr>
      </w:pPr>
    </w:p>
    <w:p w14:paraId="729C9C4F" w14:textId="5FC9B75A" w:rsidR="00401700" w:rsidRDefault="00401700" w:rsidP="006C3C96">
      <w:pPr>
        <w:pStyle w:val="Paragraph"/>
        <w:ind w:firstLine="0"/>
        <w:jc w:val="center"/>
        <w:rPr>
          <w:lang w:val="id-ID"/>
        </w:rPr>
      </w:pPr>
      <w:r>
        <w:rPr>
          <w:noProof/>
          <w:lang w:val="id-ID"/>
        </w:rPr>
        <w:drawing>
          <wp:inline distT="0" distB="0" distL="0" distR="0" wp14:anchorId="587CEE49" wp14:editId="3AC1E77B">
            <wp:extent cx="2920365" cy="1347470"/>
            <wp:effectExtent l="0" t="0" r="0" b="5080"/>
            <wp:docPr id="1694813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0365" cy="1347470"/>
                    </a:xfrm>
                    <a:prstGeom prst="rect">
                      <a:avLst/>
                    </a:prstGeom>
                    <a:noFill/>
                  </pic:spPr>
                </pic:pic>
              </a:graphicData>
            </a:graphic>
          </wp:inline>
        </w:drawing>
      </w:r>
    </w:p>
    <w:p w14:paraId="23272926" w14:textId="2A19EC65" w:rsidR="00401700" w:rsidRPr="002B15FD" w:rsidRDefault="00401700" w:rsidP="00401700">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w:t>
      </w:r>
      <w:r w:rsidRPr="001A7FB4">
        <w:t>Green energy production by the year</w:t>
      </w:r>
    </w:p>
    <w:p w14:paraId="78AB8BCC" w14:textId="76B787D1" w:rsidR="002B15FD" w:rsidRPr="002B15FD" w:rsidRDefault="002B15FD">
      <w:pPr>
        <w:pStyle w:val="Heading2"/>
        <w:numPr>
          <w:ilvl w:val="1"/>
          <w:numId w:val="6"/>
        </w:numPr>
        <w:ind w:left="450" w:hanging="450"/>
        <w:rPr>
          <w:lang w:val="en-US"/>
        </w:rPr>
      </w:pPr>
      <w:r w:rsidRPr="002B15FD">
        <w:rPr>
          <w:lang w:val="en-US"/>
        </w:rPr>
        <w:lastRenderedPageBreak/>
        <w:t>Green House Gases Emission</w:t>
      </w:r>
    </w:p>
    <w:p w14:paraId="6F455687" w14:textId="393679E9" w:rsidR="00FE7A76" w:rsidRDefault="002B15FD" w:rsidP="002B15FD">
      <w:pPr>
        <w:ind w:firstLine="357"/>
        <w:rPr>
          <w:lang w:val="en-US"/>
        </w:rPr>
      </w:pPr>
      <w:r w:rsidRPr="002B15FD">
        <w:rPr>
          <w:lang w:val="en-US"/>
        </w:rPr>
        <w:t xml:space="preserve">With the ability to use more biomass, GHG emissions can be reduced. The higher the green energy production, the higher the GHG emission reduction. GHG emissions in 2022 and 2023 are reduced by 127.4% and 255%, respectively, compared to 2021. </w:t>
      </w:r>
      <w:hyperlink w:anchor="_bookmark7" w:history="1">
        <w:r w:rsidR="006C3C96" w:rsidRPr="006C3C96">
          <w:rPr>
            <w:rStyle w:val="Hyperlink"/>
            <w:color w:val="auto"/>
            <w:u w:val="none"/>
            <w:lang w:val="en-US"/>
          </w:rPr>
          <w:t>Figure</w:t>
        </w:r>
        <w:r w:rsidRPr="006C3C96">
          <w:rPr>
            <w:rStyle w:val="Hyperlink"/>
            <w:color w:val="auto"/>
            <w:u w:val="none"/>
            <w:lang w:val="en-US"/>
          </w:rPr>
          <w:t xml:space="preserve"> 8</w:t>
        </w:r>
      </w:hyperlink>
      <w:r w:rsidRPr="006C3C96">
        <w:rPr>
          <w:lang w:val="en-US"/>
        </w:rPr>
        <w:t xml:space="preserve"> </w:t>
      </w:r>
      <w:r w:rsidRPr="002B15FD">
        <w:rPr>
          <w:lang w:val="en-US"/>
        </w:rPr>
        <w:t>shows that the advanced method can help reduce GHG emissions in coal-fired power plants and support the net zero emission target.</w:t>
      </w:r>
    </w:p>
    <w:p w14:paraId="3BF504EA" w14:textId="77777777" w:rsidR="00401700" w:rsidRDefault="00401700" w:rsidP="00401700">
      <w:pPr>
        <w:pStyle w:val="Paragraph"/>
      </w:pPr>
    </w:p>
    <w:p w14:paraId="5E6C19CA" w14:textId="430F45C9" w:rsidR="00401700" w:rsidRDefault="00401700" w:rsidP="006C3C96">
      <w:pPr>
        <w:pStyle w:val="Paragraph"/>
        <w:ind w:firstLine="0"/>
        <w:jc w:val="center"/>
      </w:pPr>
      <w:r>
        <w:rPr>
          <w:noProof/>
        </w:rPr>
        <w:drawing>
          <wp:inline distT="0" distB="0" distL="0" distR="0" wp14:anchorId="7A12B057" wp14:editId="247E603C">
            <wp:extent cx="3023870" cy="1292225"/>
            <wp:effectExtent l="0" t="0" r="5080" b="3175"/>
            <wp:docPr id="173202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870" cy="1292225"/>
                    </a:xfrm>
                    <a:prstGeom prst="rect">
                      <a:avLst/>
                    </a:prstGeom>
                    <a:noFill/>
                  </pic:spPr>
                </pic:pic>
              </a:graphicData>
            </a:graphic>
          </wp:inline>
        </w:drawing>
      </w:r>
    </w:p>
    <w:p w14:paraId="0A7D69D4" w14:textId="43606B37" w:rsidR="00401700" w:rsidRPr="00401700" w:rsidRDefault="00401700" w:rsidP="00401700">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w:t>
      </w:r>
      <w:r w:rsidRPr="00235BC5">
        <w:t>Comparison of GHG emission reduction by the year</w:t>
      </w:r>
    </w:p>
    <w:p w14:paraId="5AE9F12B" w14:textId="08A04B90" w:rsidR="002B15FD" w:rsidRPr="002B15FD" w:rsidRDefault="002B15FD">
      <w:pPr>
        <w:pStyle w:val="Heading2"/>
        <w:numPr>
          <w:ilvl w:val="1"/>
          <w:numId w:val="6"/>
        </w:numPr>
        <w:ind w:left="450" w:hanging="450"/>
        <w:rPr>
          <w:lang w:val="en-US"/>
        </w:rPr>
      </w:pPr>
      <w:r w:rsidRPr="002B15FD">
        <w:rPr>
          <w:lang w:val="en-US"/>
        </w:rPr>
        <w:t>Blending Accuracy</w:t>
      </w:r>
    </w:p>
    <w:p w14:paraId="57BA9582" w14:textId="0F91F098" w:rsidR="002B15FD" w:rsidRPr="002B15FD" w:rsidRDefault="002B15FD" w:rsidP="002B15FD">
      <w:pPr>
        <w:ind w:firstLine="357"/>
        <w:rPr>
          <w:lang w:val="en-US"/>
        </w:rPr>
      </w:pPr>
      <w:r w:rsidRPr="002B15FD">
        <w:rPr>
          <w:lang w:val="en-US"/>
        </w:rPr>
        <w:t xml:space="preserve">The previous </w:t>
      </w:r>
      <w:hyperlink w:anchor="_bookmark2" w:history="1">
        <w:r w:rsidR="006C3C96" w:rsidRPr="006C3C96">
          <w:rPr>
            <w:rStyle w:val="Hyperlink"/>
            <w:color w:val="auto"/>
            <w:u w:val="none"/>
            <w:lang w:val="en-US"/>
          </w:rPr>
          <w:t>Figure</w:t>
        </w:r>
        <w:r w:rsidRPr="002B15FD">
          <w:rPr>
            <w:rStyle w:val="Hyperlink"/>
            <w:color w:val="auto"/>
            <w:u w:val="none"/>
            <w:lang w:val="en-US"/>
          </w:rPr>
          <w:t xml:space="preserve"> 3</w:t>
        </w:r>
      </w:hyperlink>
      <w:r w:rsidRPr="002B15FD">
        <w:rPr>
          <w:lang w:val="en-US"/>
        </w:rPr>
        <w:t xml:space="preserve"> shows that the blending accuracy is very poor. The deviation reached 6.43% (maximum allowable 2%) and the accuracy was only 93.57%. Proper fuel blending planning through fuel stock management applications and blending quality monitoring can minimize derating. Blending quality monitoring was done by real-time monitoring of coal bunker feeding process with online analyzers and real-time SFC monitoring. Blending accuracy increased from 93.57%</w:t>
      </w:r>
      <w:r>
        <w:rPr>
          <w:lang w:val="en-US"/>
        </w:rPr>
        <w:t xml:space="preserve"> </w:t>
      </w:r>
      <w:r w:rsidRPr="002B15FD">
        <w:rPr>
          <w:lang w:val="en-US"/>
        </w:rPr>
        <w:t xml:space="preserve">to 98.5%. From the </w:t>
      </w:r>
      <w:hyperlink w:anchor="_bookmark8" w:history="1">
        <w:r w:rsidR="006C3C96" w:rsidRPr="006C3C96">
          <w:rPr>
            <w:rStyle w:val="Hyperlink"/>
            <w:color w:val="auto"/>
            <w:u w:val="none"/>
            <w:lang w:val="en-US"/>
          </w:rPr>
          <w:t>Figure</w:t>
        </w:r>
        <w:r w:rsidRPr="006C3C96">
          <w:rPr>
            <w:rStyle w:val="Hyperlink"/>
            <w:color w:val="auto"/>
            <w:u w:val="none"/>
            <w:lang w:val="en-US"/>
          </w:rPr>
          <w:t xml:space="preserve"> 9,</w:t>
        </w:r>
      </w:hyperlink>
      <w:r w:rsidRPr="006C3C96">
        <w:rPr>
          <w:lang w:val="en-US"/>
        </w:rPr>
        <w:t xml:space="preserve"> </w:t>
      </w:r>
      <w:r w:rsidRPr="002B15FD">
        <w:rPr>
          <w:lang w:val="en-US"/>
        </w:rPr>
        <w:t>it can be seen that the calorific value based on the estimation from fuel stock management is very close to the actual calorific value from the test results in the lab.</w:t>
      </w:r>
    </w:p>
    <w:p w14:paraId="2C06747E" w14:textId="77777777" w:rsidR="002B15FD" w:rsidRPr="002B15FD" w:rsidRDefault="002B15FD" w:rsidP="002B15FD">
      <w:pPr>
        <w:ind w:firstLine="357"/>
        <w:rPr>
          <w:lang w:val="en-US"/>
        </w:rPr>
      </w:pPr>
      <w:r w:rsidRPr="002B15FD">
        <w:rPr>
          <w:lang w:val="en-US"/>
        </w:rPr>
        <w:t>The higher use of biomass will be a challenge to maintain the quality of blending results. Fuel stock management can help us maintain blending quality and accuracy. As a result, derating loss can be avoided. Derating loss occurs due to the low calorific value of the fuel.</w:t>
      </w:r>
    </w:p>
    <w:p w14:paraId="0EAFDE91" w14:textId="4367DAC6" w:rsidR="002B15FD" w:rsidRPr="002B15FD" w:rsidRDefault="002B15FD" w:rsidP="002B15FD">
      <w:pPr>
        <w:ind w:firstLine="357"/>
        <w:rPr>
          <w:lang w:val="en-US"/>
        </w:rPr>
      </w:pPr>
      <w:r w:rsidRPr="002B15FD">
        <w:rPr>
          <w:lang w:val="en-US"/>
        </w:rPr>
        <w:t xml:space="preserve">In 2021, the total biomass utilization is 11,804 tons. However, in that year, there was a derating loss of 11,320 MWh due to Low CV. With advanced methods and fuel stock management, the total biomass utilization can be increased significantly without the risk of derating loss. This is proven in 2022, the biomass utilized was 31,974.5 tons (171% higher), but the derating loss dropped to 4,538 MWh or 59.9% lower than in 2021 as shown in </w:t>
      </w:r>
      <w:hyperlink w:anchor="_bookmark9" w:history="1">
        <w:r w:rsidR="006C3C96" w:rsidRPr="006C3C96">
          <w:rPr>
            <w:rStyle w:val="Hyperlink"/>
            <w:color w:val="auto"/>
            <w:u w:val="none"/>
            <w:lang w:val="en-US"/>
          </w:rPr>
          <w:t>Figure</w:t>
        </w:r>
        <w:r w:rsidRPr="002B15FD">
          <w:rPr>
            <w:rStyle w:val="Hyperlink"/>
            <w:color w:val="auto"/>
            <w:u w:val="none"/>
            <w:lang w:val="en-US"/>
          </w:rPr>
          <w:t xml:space="preserve"> 10.</w:t>
        </w:r>
      </w:hyperlink>
    </w:p>
    <w:p w14:paraId="5BD5EA4B" w14:textId="0BFA1D85" w:rsidR="002B15FD" w:rsidRDefault="002B15FD" w:rsidP="002B15FD">
      <w:pPr>
        <w:ind w:firstLine="357"/>
        <w:rPr>
          <w:lang w:val="en-US"/>
        </w:rPr>
      </w:pPr>
    </w:p>
    <w:p w14:paraId="21D3CA46" w14:textId="648A8054" w:rsidR="00401700" w:rsidRDefault="00401700" w:rsidP="006C3C96">
      <w:pPr>
        <w:pStyle w:val="Paragraph"/>
        <w:ind w:firstLine="0"/>
        <w:jc w:val="center"/>
      </w:pPr>
      <w:r>
        <w:rPr>
          <w:noProof/>
        </w:rPr>
        <w:drawing>
          <wp:inline distT="0" distB="0" distL="0" distR="0" wp14:anchorId="1CD21EF0" wp14:editId="6FF9FDCC">
            <wp:extent cx="2974975" cy="1268095"/>
            <wp:effectExtent l="0" t="0" r="0" b="8255"/>
            <wp:docPr id="8084670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4975" cy="1268095"/>
                    </a:xfrm>
                    <a:prstGeom prst="rect">
                      <a:avLst/>
                    </a:prstGeom>
                    <a:noFill/>
                  </pic:spPr>
                </pic:pic>
              </a:graphicData>
            </a:graphic>
          </wp:inline>
        </w:drawing>
      </w:r>
    </w:p>
    <w:p w14:paraId="19ADF588" w14:textId="0118FE18" w:rsidR="00401700" w:rsidRDefault="00401700" w:rsidP="00401700">
      <w:pPr>
        <w:pStyle w:val="Caption"/>
      </w:pPr>
      <w:r>
        <w:t xml:space="preserve">Figure </w:t>
      </w:r>
      <w:r>
        <w:fldChar w:fldCharType="begin"/>
      </w:r>
      <w:r>
        <w:instrText xml:space="preserve"> SEQ Figure \* ARABIC </w:instrText>
      </w:r>
      <w:r>
        <w:fldChar w:fldCharType="separate"/>
      </w:r>
      <w:r>
        <w:rPr>
          <w:noProof/>
        </w:rPr>
        <w:t>9</w:t>
      </w:r>
      <w:r>
        <w:fldChar w:fldCharType="end"/>
      </w:r>
      <w:r>
        <w:t xml:space="preserve">. </w:t>
      </w:r>
      <w:r w:rsidRPr="00D2799C">
        <w:t>Estimated Value of Coal Blending and Lab Test (period of 2021 – 2022)</w:t>
      </w:r>
    </w:p>
    <w:p w14:paraId="7FB0B230" w14:textId="77777777" w:rsidR="006C3C96" w:rsidRPr="002B15FD" w:rsidRDefault="006C3C96" w:rsidP="006C3C96">
      <w:pPr>
        <w:rPr>
          <w:lang w:val="en-US"/>
        </w:rPr>
      </w:pPr>
    </w:p>
    <w:p w14:paraId="46BA4365" w14:textId="29BAFB62" w:rsidR="00FE7A76" w:rsidRDefault="00401700" w:rsidP="006C3C96">
      <w:pPr>
        <w:pStyle w:val="Paragraph"/>
        <w:ind w:firstLine="0"/>
        <w:jc w:val="center"/>
        <w:rPr>
          <w:lang w:val="id-ID"/>
        </w:rPr>
      </w:pPr>
      <w:r>
        <w:rPr>
          <w:noProof/>
          <w:lang w:val="id-ID"/>
        </w:rPr>
        <w:drawing>
          <wp:inline distT="0" distB="0" distL="0" distR="0" wp14:anchorId="4B0FCF24" wp14:editId="583FFC32">
            <wp:extent cx="2877820" cy="1475105"/>
            <wp:effectExtent l="0" t="0" r="0" b="0"/>
            <wp:docPr id="548666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1475105"/>
                    </a:xfrm>
                    <a:prstGeom prst="rect">
                      <a:avLst/>
                    </a:prstGeom>
                    <a:noFill/>
                  </pic:spPr>
                </pic:pic>
              </a:graphicData>
            </a:graphic>
          </wp:inline>
        </w:drawing>
      </w:r>
    </w:p>
    <w:p w14:paraId="1B765C8C" w14:textId="7AF103C3" w:rsidR="00401700" w:rsidRPr="00FE7A76" w:rsidRDefault="00401700" w:rsidP="00401700">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w:t>
      </w:r>
      <w:r w:rsidRPr="00E23084">
        <w:t>Total biomass utilization (ton) versus derating loss</w:t>
      </w:r>
    </w:p>
    <w:p w14:paraId="1A0C6E9F" w14:textId="38DC3825" w:rsidR="00B922B0" w:rsidRPr="003635AD" w:rsidRDefault="002B15FD" w:rsidP="003A38C9">
      <w:pPr>
        <w:pStyle w:val="Subtitle"/>
      </w:pPr>
      <w:r w:rsidRPr="002B15FD">
        <w:rPr>
          <w:lang w:val="en-US"/>
        </w:rPr>
        <w:lastRenderedPageBreak/>
        <w:t>CONCLUSION</w:t>
      </w:r>
    </w:p>
    <w:p w14:paraId="2DAFD7C0" w14:textId="5A3B8B0F" w:rsidR="009D433A" w:rsidRPr="009D433A" w:rsidRDefault="009D433A" w:rsidP="006C3C96">
      <w:pPr>
        <w:pStyle w:val="Paragraph"/>
        <w:ind w:firstLine="0"/>
      </w:pPr>
      <w:r w:rsidRPr="009D433A">
        <w:t>Based on the work that has been done, conclusions can be drawn, as follows:</w:t>
      </w:r>
    </w:p>
    <w:p w14:paraId="4DF4B724" w14:textId="20EEDF24" w:rsidR="009D433A" w:rsidRPr="009D433A" w:rsidRDefault="009D433A">
      <w:pPr>
        <w:pStyle w:val="Paragraph"/>
        <w:numPr>
          <w:ilvl w:val="0"/>
          <w:numId w:val="4"/>
        </w:numPr>
      </w:pPr>
      <w:r w:rsidRPr="009D433A">
        <w:t>Based on the implementation of this new method innovation in blending biomass and coal, it can increase:</w:t>
      </w:r>
    </w:p>
    <w:p w14:paraId="4AA11E6C" w14:textId="77777777" w:rsidR="006C3C96" w:rsidRDefault="009D433A">
      <w:pPr>
        <w:pStyle w:val="Paragraph"/>
        <w:numPr>
          <w:ilvl w:val="1"/>
          <w:numId w:val="3"/>
        </w:numPr>
      </w:pPr>
      <w:r w:rsidRPr="009D433A">
        <w:t>biomass utilization in 2022 increased by 171%</w:t>
      </w:r>
      <w:r w:rsidR="006C3C96" w:rsidRPr="006C3C96">
        <w:t xml:space="preserve"> </w:t>
      </w:r>
      <w:r w:rsidRPr="009D433A">
        <w:t>compared to 2021, while biomass utilization in the</w:t>
      </w:r>
      <w:r w:rsidRPr="006C3C96">
        <w:t xml:space="preserve"> first semester of 2023 was already 99.5% higher than the realization of 2021.</w:t>
      </w:r>
    </w:p>
    <w:p w14:paraId="7F93615A" w14:textId="77777777" w:rsidR="006C3C96" w:rsidRDefault="009D433A">
      <w:pPr>
        <w:pStyle w:val="Paragraph"/>
        <w:numPr>
          <w:ilvl w:val="1"/>
          <w:numId w:val="3"/>
        </w:numPr>
      </w:pPr>
      <w:r w:rsidRPr="009D433A">
        <w:t>average monthly utilization in 2022 increased by 157% compared to 2021, and the first semester of 2023 was 99% higher than 2021.</w:t>
      </w:r>
    </w:p>
    <w:p w14:paraId="3AB5AC8F" w14:textId="77777777" w:rsidR="006C3C96" w:rsidRDefault="009D433A">
      <w:pPr>
        <w:pStyle w:val="Paragraph"/>
        <w:numPr>
          <w:ilvl w:val="1"/>
          <w:numId w:val="3"/>
        </w:numPr>
      </w:pPr>
      <w:r w:rsidRPr="009D433A">
        <w:t>green energy production in 2022 increased by 127% compared to 2021, and the first semester of 2023 was 255% higher than 2021.</w:t>
      </w:r>
    </w:p>
    <w:p w14:paraId="1150D365" w14:textId="3EF79255" w:rsidR="009D433A" w:rsidRPr="009D433A" w:rsidRDefault="009D433A">
      <w:pPr>
        <w:pStyle w:val="Paragraph"/>
        <w:numPr>
          <w:ilvl w:val="1"/>
          <w:numId w:val="3"/>
        </w:numPr>
      </w:pPr>
      <w:r w:rsidRPr="009D433A">
        <w:t>Flexibility in terms of execution time of biomass and coal blending.</w:t>
      </w:r>
    </w:p>
    <w:p w14:paraId="64CA8A6D" w14:textId="77777777" w:rsidR="009D433A" w:rsidRPr="009D433A" w:rsidRDefault="009D433A">
      <w:pPr>
        <w:pStyle w:val="Paragraph"/>
        <w:numPr>
          <w:ilvl w:val="0"/>
          <w:numId w:val="4"/>
        </w:numPr>
      </w:pPr>
      <w:r w:rsidRPr="009D433A">
        <w:t>With the implementation of this innovation, equipment disturbances arising from inhomogeneous blending of coal and biomass can be minimized. In this case, blocking mill disturbance can be reduced from 8 disturbances to 0 (zero) disturbances.</w:t>
      </w:r>
    </w:p>
    <w:p w14:paraId="492D7567" w14:textId="77777777" w:rsidR="009D433A" w:rsidRPr="009D433A" w:rsidRDefault="009D433A">
      <w:pPr>
        <w:pStyle w:val="Paragraph"/>
        <w:numPr>
          <w:ilvl w:val="0"/>
          <w:numId w:val="4"/>
        </w:numPr>
      </w:pPr>
      <w:r w:rsidRPr="009D433A">
        <w:t>The implementation of this innovation can also normalize the operator's workload in terms of time and resources.</w:t>
      </w:r>
    </w:p>
    <w:p w14:paraId="6FFDC948" w14:textId="77777777" w:rsidR="009D433A" w:rsidRPr="009D433A" w:rsidRDefault="009D433A">
      <w:pPr>
        <w:pStyle w:val="Paragraph"/>
        <w:numPr>
          <w:ilvl w:val="0"/>
          <w:numId w:val="4"/>
        </w:numPr>
      </w:pPr>
      <w:r w:rsidRPr="009D433A">
        <w:t>This innovation also supports the reduction of Greenhouse Gas (GHG) emissions including CO2, CH4, and N2O. From the calculation of GHG emissions in 2021 and 2022, greenhouse gas emissions in 2022 also decreased by 127.4% from 2021. Meanwhile, greenhouse gas emissions in 2023 decreased by 255% from 2021.</w:t>
      </w:r>
    </w:p>
    <w:p w14:paraId="04CCE2ED" w14:textId="77777777" w:rsidR="00FE7A76" w:rsidRDefault="00FE7A76" w:rsidP="00FE7A76">
      <w:pPr>
        <w:pStyle w:val="Paragraph"/>
        <w:ind w:left="357"/>
        <w:rPr>
          <w:lang w:val="id-ID"/>
        </w:rPr>
      </w:pPr>
    </w:p>
    <w:p w14:paraId="3F5A1BAA" w14:textId="5E0D60BA" w:rsidR="00FE7A76" w:rsidRPr="00FE7A76" w:rsidRDefault="009D433A" w:rsidP="00051B8B">
      <w:pPr>
        <w:pStyle w:val="Subtitle"/>
      </w:pPr>
      <w:r w:rsidRPr="009D433A">
        <w:t>ACKNOWLEDGEMENT</w:t>
      </w:r>
    </w:p>
    <w:p w14:paraId="21BFB974" w14:textId="77777777" w:rsidR="009D433A" w:rsidRPr="009D433A" w:rsidRDefault="009D433A" w:rsidP="005A581E">
      <w:pPr>
        <w:pStyle w:val="Paragraph"/>
        <w:ind w:firstLine="357"/>
      </w:pPr>
      <w:r w:rsidRPr="009D433A">
        <w:t>This paper is produced based on an innovation project that has been carried out at Pelabuhan Ratu Power Plant. The</w:t>
      </w:r>
      <w:r>
        <w:t xml:space="preserve"> </w:t>
      </w:r>
      <w:r w:rsidRPr="009D433A">
        <w:t>innovation project is fully supported by PT. PLN Indonesia Power. All data included in this paper has been approved by the company for publication.</w:t>
      </w:r>
    </w:p>
    <w:p w14:paraId="64F2C37D" w14:textId="77777777" w:rsidR="00CD3009" w:rsidRDefault="00CD3009" w:rsidP="00CD3009">
      <w:pPr>
        <w:pStyle w:val="Paragraph"/>
        <w:ind w:left="357"/>
        <w:rPr>
          <w:lang w:val="id-ID"/>
        </w:rPr>
      </w:pPr>
    </w:p>
    <w:p w14:paraId="1A820F1D" w14:textId="5E54C8DE" w:rsidR="006D6BA1" w:rsidRPr="003635AD" w:rsidRDefault="009D433A" w:rsidP="003A38C9">
      <w:pPr>
        <w:pStyle w:val="Subtitle"/>
      </w:pPr>
      <w:r>
        <w:rPr>
          <w:rFonts w:eastAsia="MS Mincho"/>
          <w:lang w:val="en-US"/>
        </w:rPr>
        <w:t>REFERENCE</w:t>
      </w:r>
    </w:p>
    <w:p w14:paraId="27EB8B2B" w14:textId="1AE06525" w:rsidR="002E2FD1" w:rsidRPr="009D433A" w:rsidRDefault="002E2FD1" w:rsidP="00617CA9">
      <w:pPr>
        <w:pStyle w:val="Reference"/>
      </w:pPr>
      <w:r w:rsidRPr="009D433A">
        <w:t xml:space="preserve">A.A. Bhuiyan, A. S. Blicblau, A. K. M. S. Islam, </w:t>
      </w:r>
      <w:r w:rsidR="00423F4D">
        <w:t>dan</w:t>
      </w:r>
      <w:r w:rsidRPr="009D433A">
        <w:t xml:space="preserve"> J. Naser, </w:t>
      </w:r>
      <w:r w:rsidR="00423F4D">
        <w:t xml:space="preserve">2018. </w:t>
      </w:r>
      <w:r w:rsidRPr="009D433A">
        <w:t>A review on thermo-chemical characteristics of coal/biomass co-firing in industrial furnace</w:t>
      </w:r>
      <w:r w:rsidR="00464200">
        <w:t>.</w:t>
      </w:r>
      <w:r w:rsidRPr="009D433A">
        <w:t xml:space="preserve"> </w:t>
      </w:r>
      <w:r w:rsidRPr="009D433A">
        <w:rPr>
          <w:i/>
        </w:rPr>
        <w:t>Journal of the Energy Institute</w:t>
      </w:r>
      <w:r w:rsidRPr="009D433A">
        <w:t xml:space="preserve">, </w:t>
      </w:r>
      <w:r w:rsidR="00423F4D">
        <w:t>V</w:t>
      </w:r>
      <w:r w:rsidRPr="009D433A">
        <w:t>ol. 91, pp. 1–18.</w:t>
      </w:r>
    </w:p>
    <w:p w14:paraId="1246BE67" w14:textId="45E15015" w:rsidR="002E2FD1" w:rsidRPr="009D433A" w:rsidRDefault="002E2FD1" w:rsidP="00617CA9">
      <w:pPr>
        <w:pStyle w:val="Reference"/>
      </w:pPr>
      <w:r w:rsidRPr="009D433A">
        <w:t xml:space="preserve">D. L. Klass, </w:t>
      </w:r>
      <w:r w:rsidRPr="009D433A">
        <w:rPr>
          <w:i/>
        </w:rPr>
        <w:t>Biomass for renewable energy, fuels, and chemicals</w:t>
      </w:r>
      <w:r w:rsidRPr="009D433A">
        <w:t xml:space="preserve">. Academic Press, </w:t>
      </w:r>
      <w:r w:rsidR="00464200" w:rsidRPr="009D433A">
        <w:t>San Diego</w:t>
      </w:r>
      <w:r w:rsidR="00464200">
        <w:t>,</w:t>
      </w:r>
      <w:r w:rsidR="00464200" w:rsidRPr="009D433A">
        <w:t xml:space="preserve"> </w:t>
      </w:r>
      <w:r w:rsidRPr="009D433A">
        <w:t>1998.</w:t>
      </w:r>
    </w:p>
    <w:p w14:paraId="3F032E5D" w14:textId="56DA5DF6" w:rsidR="002E2FD1" w:rsidRPr="009D433A" w:rsidRDefault="002E2FD1" w:rsidP="00287CB5">
      <w:pPr>
        <w:pStyle w:val="Reference"/>
      </w:pPr>
      <w:r w:rsidRPr="009D433A">
        <w:t xml:space="preserve">D.I. Barnes, </w:t>
      </w:r>
      <w:r w:rsidR="00423F4D">
        <w:t xml:space="preserve">2015. </w:t>
      </w:r>
      <w:r w:rsidRPr="009D433A">
        <w:t>Understanding pulverised coal, biomass and waste combustion – A brief overview</w:t>
      </w:r>
      <w:r w:rsidR="00464200">
        <w:t>.</w:t>
      </w:r>
      <w:r w:rsidRPr="009D433A">
        <w:t xml:space="preserve"> </w:t>
      </w:r>
      <w:r w:rsidRPr="009D433A">
        <w:rPr>
          <w:i/>
        </w:rPr>
        <w:t>Applied Thermal Engineering</w:t>
      </w:r>
      <w:r w:rsidRPr="009D433A">
        <w:t xml:space="preserve">, </w:t>
      </w:r>
      <w:r w:rsidR="00423F4D">
        <w:t>V</w:t>
      </w:r>
      <w:r w:rsidRPr="009D433A">
        <w:t>ol. 74, pp. 89–95</w:t>
      </w:r>
      <w:r w:rsidR="00423F4D">
        <w:t>.</w:t>
      </w:r>
      <w:r w:rsidRPr="009D433A">
        <w:t xml:space="preserve"> </w:t>
      </w:r>
    </w:p>
    <w:p w14:paraId="7816816B" w14:textId="4078DD43" w:rsidR="002E2FD1" w:rsidRPr="009D433A" w:rsidRDefault="002E2FD1" w:rsidP="00BB1954">
      <w:pPr>
        <w:pStyle w:val="Reference"/>
      </w:pPr>
      <w:r w:rsidRPr="009D433A">
        <w:t>IPCC, 2006 IPCC Guidelines for National Greenhouse Gas Inventories</w:t>
      </w:r>
      <w:r w:rsidR="00464200">
        <w:t>.</w:t>
      </w:r>
      <w:r w:rsidRPr="009D433A">
        <w:t xml:space="preserve"> IPCC, 2006. [Online]. Available: https://</w:t>
      </w:r>
      <w:hyperlink r:id="rId18">
        <w:r w:rsidRPr="009D433A">
          <w:rPr>
            <w:rStyle w:val="Hyperlink"/>
          </w:rPr>
          <w:t>www.ipcc-nggip.iges.or.jp/public/2006gl/vol2.html</w:t>
        </w:r>
      </w:hyperlink>
    </w:p>
    <w:p w14:paraId="126FEBB2" w14:textId="3F11B417" w:rsidR="002E2FD1" w:rsidRPr="009D433A" w:rsidRDefault="002E2FD1" w:rsidP="00287CB5">
      <w:pPr>
        <w:pStyle w:val="Reference"/>
      </w:pPr>
      <w:r w:rsidRPr="009D433A">
        <w:t xml:space="preserve">M. V. Gil </w:t>
      </w:r>
      <w:r w:rsidR="00423F4D">
        <w:t>dan</w:t>
      </w:r>
      <w:r w:rsidRPr="009D433A">
        <w:t xml:space="preserve"> F. Rubiera, </w:t>
      </w:r>
      <w:r w:rsidR="00423F4D" w:rsidRPr="00423F4D">
        <w:t xml:space="preserve">Coal and biomass cofiring: </w:t>
      </w:r>
      <w:r w:rsidR="00423F4D">
        <w:t>F</w:t>
      </w:r>
      <w:r w:rsidR="00423F4D" w:rsidRPr="00423F4D">
        <w:t>undamentals and future trends</w:t>
      </w:r>
      <w:r w:rsidR="00464200">
        <w:t>.</w:t>
      </w:r>
      <w:r w:rsidRPr="009D433A">
        <w:t xml:space="preserve"> </w:t>
      </w:r>
      <w:r w:rsidR="00464200">
        <w:t>I</w:t>
      </w:r>
      <w:r w:rsidRPr="009D433A">
        <w:t>n</w:t>
      </w:r>
      <w:r w:rsidR="00464200">
        <w:t>:</w:t>
      </w:r>
      <w:r w:rsidRPr="009D433A">
        <w:t xml:space="preserve"> </w:t>
      </w:r>
      <w:r w:rsidRPr="009D433A">
        <w:rPr>
          <w:i/>
        </w:rPr>
        <w:t>New Trends in Coal Conversion</w:t>
      </w:r>
      <w:r w:rsidRPr="009D433A">
        <w:t xml:space="preserve">, </w:t>
      </w:r>
      <w:r w:rsidR="00464200">
        <w:t>2019</w:t>
      </w:r>
      <w:r w:rsidRPr="009D433A">
        <w:t>.</w:t>
      </w:r>
    </w:p>
    <w:p w14:paraId="6AB1CF06" w14:textId="2EAAED8B" w:rsidR="002E2FD1" w:rsidRPr="009D433A" w:rsidRDefault="002E2FD1" w:rsidP="00617CA9">
      <w:pPr>
        <w:pStyle w:val="Reference"/>
      </w:pPr>
      <w:r w:rsidRPr="009D433A">
        <w:t xml:space="preserve">S. Pang, Biomass </w:t>
      </w:r>
      <w:r w:rsidR="00464200">
        <w:t>d</w:t>
      </w:r>
      <w:r w:rsidRPr="009D433A">
        <w:t xml:space="preserve">rying for an Integrated Bioenergy Plant,” in </w:t>
      </w:r>
      <w:r w:rsidRPr="009D433A">
        <w:rPr>
          <w:i/>
        </w:rPr>
        <w:t>Handbook of Industrial Drying</w:t>
      </w:r>
      <w:r w:rsidRPr="009D433A">
        <w:t>, 4th ed.New York: CRC Press, 2014.</w:t>
      </w:r>
    </w:p>
    <w:p w14:paraId="425FFE55" w14:textId="7E4DF7A7" w:rsidR="002E2FD1" w:rsidRPr="009D433A" w:rsidRDefault="002E2FD1" w:rsidP="00BB1954">
      <w:pPr>
        <w:pStyle w:val="Reference"/>
      </w:pPr>
      <w:r w:rsidRPr="009D433A">
        <w:t xml:space="preserve">S. Stenström, </w:t>
      </w:r>
      <w:r w:rsidR="00423F4D">
        <w:t xml:space="preserve">2017. </w:t>
      </w:r>
      <w:r w:rsidRPr="009D433A">
        <w:t>Drying of biofuels from the forest—A review</w:t>
      </w:r>
      <w:r w:rsidR="00464200">
        <w:t>.</w:t>
      </w:r>
      <w:r w:rsidRPr="009D433A">
        <w:t xml:space="preserve"> </w:t>
      </w:r>
      <w:r w:rsidRPr="009D433A">
        <w:rPr>
          <w:i/>
        </w:rPr>
        <w:t>Drying Technology</w:t>
      </w:r>
      <w:r w:rsidRPr="009D433A">
        <w:t xml:space="preserve">, </w:t>
      </w:r>
      <w:r w:rsidR="00423F4D">
        <w:t>V</w:t>
      </w:r>
      <w:r w:rsidRPr="009D433A">
        <w:t>ol. 35, pp. 1167–1181.</w:t>
      </w:r>
    </w:p>
    <w:p w14:paraId="77ACE4F5" w14:textId="116E3E94" w:rsidR="002E2FD1" w:rsidRPr="009D433A" w:rsidRDefault="002E2FD1" w:rsidP="00617CA9">
      <w:pPr>
        <w:pStyle w:val="Reference"/>
      </w:pPr>
      <w:r w:rsidRPr="009D433A">
        <w:t>UNFCC, The Paris Agreement, 2015. https://unfccc.int/process-and-meetings/the-paris-agreement (diakses 17 April 2023)</w:t>
      </w:r>
    </w:p>
    <w:sectPr w:rsidR="002E2FD1" w:rsidRPr="009D433A" w:rsidSect="006C3C96">
      <w:headerReference w:type="even" r:id="rId19"/>
      <w:headerReference w:type="default" r:id="rId20"/>
      <w:footerReference w:type="default" r:id="rId21"/>
      <w:headerReference w:type="first" r:id="rId22"/>
      <w:footerReference w:type="first" r:id="rId23"/>
      <w:type w:val="continuous"/>
      <w:pgSz w:w="11906" w:h="16838" w:code="9"/>
      <w:pgMar w:top="1418" w:right="1134" w:bottom="1134" w:left="1134" w:header="567" w:footer="567" w:gutter="0"/>
      <w:pgNumType w:start="18"/>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19B6DD" w14:textId="77777777" w:rsidR="00F85A63" w:rsidRDefault="00F85A63" w:rsidP="0032469A">
      <w:r>
        <w:separator/>
      </w:r>
    </w:p>
  </w:endnote>
  <w:endnote w:type="continuationSeparator" w:id="0">
    <w:p w14:paraId="6767EF36" w14:textId="77777777" w:rsidR="00F85A63" w:rsidRDefault="00F85A63" w:rsidP="0032469A">
      <w:r>
        <w:continuationSeparator/>
      </w:r>
    </w:p>
  </w:endnote>
  <w:endnote w:type="continuationNotice" w:id="1">
    <w:p w14:paraId="4D9B6B00" w14:textId="77777777" w:rsidR="00F85A63" w:rsidRDefault="00F85A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Naskh-Medium-Identity-H">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1773874"/>
      <w:docPartObj>
        <w:docPartGallery w:val="Page Numbers (Bottom of Page)"/>
        <w:docPartUnique/>
      </w:docPartObj>
    </w:sdtPr>
    <w:sdtEndPr>
      <w:rPr>
        <w:noProof/>
      </w:rPr>
    </w:sdtEndPr>
    <w:sdtContent>
      <w:p w14:paraId="58900AFF" w14:textId="4C0D37B5" w:rsidR="00F50DE7" w:rsidRDefault="00F50D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36A3EF" w14:textId="77777777" w:rsidR="00F50DE7" w:rsidRDefault="00F50DE7">
    <w:pPr>
      <w:pStyle w:val="Footer"/>
    </w:pPr>
  </w:p>
  <w:p w14:paraId="4A31B6BE" w14:textId="77777777" w:rsidR="001A475A" w:rsidRDefault="001A47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941961"/>
      <w:docPartObj>
        <w:docPartGallery w:val="Page Numbers (Bottom of Page)"/>
        <w:docPartUnique/>
      </w:docPartObj>
    </w:sdtPr>
    <w:sdtEndPr>
      <w:rPr>
        <w:noProof/>
      </w:rPr>
    </w:sdtEndPr>
    <w:sdtContent>
      <w:p w14:paraId="237044E7" w14:textId="06ECFD99" w:rsidR="00F50DE7" w:rsidRDefault="00F50DE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70606E" w14:textId="77777777" w:rsidR="00F50DE7" w:rsidRDefault="00F50DE7">
    <w:pPr>
      <w:pStyle w:val="Footer"/>
    </w:pPr>
  </w:p>
  <w:p w14:paraId="72C3B753" w14:textId="77777777" w:rsidR="001A475A" w:rsidRDefault="001A47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D01CE" w14:textId="77777777" w:rsidR="00F85A63" w:rsidRDefault="00F85A63" w:rsidP="0032469A">
      <w:r>
        <w:separator/>
      </w:r>
    </w:p>
  </w:footnote>
  <w:footnote w:type="continuationSeparator" w:id="0">
    <w:p w14:paraId="3204D288" w14:textId="77777777" w:rsidR="00F85A63" w:rsidRDefault="00F85A63" w:rsidP="0032469A">
      <w:r>
        <w:continuationSeparator/>
      </w:r>
    </w:p>
  </w:footnote>
  <w:footnote w:type="continuationNotice" w:id="1">
    <w:p w14:paraId="667BA20B" w14:textId="77777777" w:rsidR="00F85A63" w:rsidRDefault="00F85A63"/>
  </w:footnote>
  <w:footnote w:id="2">
    <w:p w14:paraId="5CE11B1E" w14:textId="4049B351" w:rsidR="00231CB1" w:rsidRPr="00231CB1" w:rsidRDefault="00231CB1">
      <w:pPr>
        <w:pStyle w:val="FootnoteText"/>
        <w:rPr>
          <w:lang w:val="en-US"/>
        </w:rPr>
      </w:pPr>
      <w:r>
        <w:rPr>
          <w:rStyle w:val="FootnoteReference"/>
        </w:rPr>
        <w:footnoteRef/>
      </w:r>
      <w:r>
        <w:t xml:space="preserve"> </w:t>
      </w:r>
      <w:r w:rsidRPr="00040E51">
        <w:t xml:space="preserve">Artikel ini dipresentasikan dalam </w:t>
      </w:r>
      <w:r w:rsidRPr="00040E51">
        <w:rPr>
          <w:i/>
          <w:iCs/>
        </w:rPr>
        <w:t>Science Technology and Management Meetup</w:t>
      </w:r>
      <w:r w:rsidRPr="00040E51">
        <w:t xml:space="preserve"> (STEM MEET UP) 2023, PT. PLN Indonesia Power</w:t>
      </w:r>
      <w:r>
        <w:t>, 21-23 November 2023</w:t>
      </w:r>
      <w:r w:rsidRPr="00040E51">
        <w:t xml:space="preserve"> di Batam</w:t>
      </w:r>
      <w:r>
        <w:t>, Kepulauan Riau.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31181" w14:textId="6172253A" w:rsidR="000F5416" w:rsidRPr="00535424" w:rsidRDefault="00000000" w:rsidP="006B25A9">
    <w:pPr>
      <w:pStyle w:val="Header"/>
      <w:jc w:val="center"/>
      <w:rPr>
        <w:sz w:val="20"/>
        <w:szCs w:val="20"/>
        <w:lang w:val="en-US"/>
      </w:rPr>
    </w:pPr>
    <w:r>
      <w:rPr>
        <w:noProof/>
      </w:rPr>
      <w:pict w14:anchorId="735A1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580735" o:spid="_x0000_s1028" type="#_x0000_t136" style="position:absolute;left:0;text-align:left;margin-left:0;margin-top:0;width:452.95pt;height:226.45pt;rotation:315;z-index:-251655168;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0F5416" w:rsidRPr="00307EAA">
      <w:rPr>
        <w:sz w:val="20"/>
        <w:szCs w:val="20"/>
        <w:lang w:val="en-US"/>
      </w:rPr>
      <w:t>E. Rekayana and A. Widyaparaga</w:t>
    </w:r>
    <w:r w:rsidR="000F5416" w:rsidRPr="00535424">
      <w:rPr>
        <w:sz w:val="20"/>
        <w:szCs w:val="20"/>
      </w:rPr>
      <w:t xml:space="preserve"> </w:t>
    </w:r>
    <w:r w:rsidR="000F5416" w:rsidRPr="00535424">
      <w:rPr>
        <w:sz w:val="20"/>
        <w:szCs w:val="20"/>
        <w:lang w:val="en-US"/>
      </w:rPr>
      <w:t>/ Journal of Mechanical Design and Testing 2(</w:t>
    </w:r>
    <w:r w:rsidR="000F5416">
      <w:rPr>
        <w:sz w:val="20"/>
        <w:szCs w:val="20"/>
        <w:lang w:val="en-US"/>
      </w:rPr>
      <w:t>2</w:t>
    </w:r>
    <w:r w:rsidR="000F5416" w:rsidRPr="00535424">
      <w:rPr>
        <w:sz w:val="20"/>
        <w:szCs w:val="20"/>
        <w:lang w:val="en-US"/>
      </w:rPr>
      <w:t xml:space="preserve">), (2020), </w:t>
    </w:r>
    <w:r w:rsidR="000F5416">
      <w:rPr>
        <w:sz w:val="20"/>
        <w:szCs w:val="20"/>
        <w:lang w:val="en-US"/>
      </w:rPr>
      <w:t>xx-xx</w:t>
    </w:r>
  </w:p>
  <w:p w14:paraId="6CD37912" w14:textId="77777777" w:rsidR="000F5416" w:rsidRDefault="00000000" w:rsidP="006B25A9">
    <w:pPr>
      <w:pStyle w:val="Header"/>
      <w:jc w:val="right"/>
    </w:pPr>
    <w:r>
      <w:pict w14:anchorId="359B5F8D">
        <v:rect id="_x0000_i1025" style="width:402.5pt;height:2pt" o:hralign="center" o:hrstd="t" o:hrnoshade="t" o:hr="t" fillcolor="black" stroked="f"/>
      </w:pict>
    </w:r>
  </w:p>
  <w:p w14:paraId="741C5973" w14:textId="77777777" w:rsidR="001A475A" w:rsidRDefault="001A47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E5AF9" w14:textId="25E27A7F" w:rsidR="000F5416" w:rsidRPr="00535424" w:rsidRDefault="00000000" w:rsidP="00AF3DFE">
    <w:pPr>
      <w:pStyle w:val="Header"/>
      <w:jc w:val="center"/>
      <w:rPr>
        <w:sz w:val="20"/>
        <w:szCs w:val="20"/>
        <w:lang w:val="en-US"/>
      </w:rPr>
    </w:pPr>
    <w:r>
      <w:rPr>
        <w:noProof/>
      </w:rPr>
      <w:pict w14:anchorId="5F65A4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580736" o:spid="_x0000_s1029" type="#_x0000_t136" style="position:absolute;left:0;text-align:left;margin-left:0;margin-top:0;width:452.95pt;height:226.45pt;rotation:315;z-index:-251653120;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196459" w:rsidRPr="00196459">
      <w:rPr>
        <w:sz w:val="20"/>
        <w:szCs w:val="20"/>
        <w:lang w:val="en-US"/>
      </w:rPr>
      <w:t>H.T. Nurahman and H. Hermawan</w:t>
    </w:r>
    <w:r w:rsidR="00196459">
      <w:rPr>
        <w:sz w:val="20"/>
        <w:szCs w:val="20"/>
        <w:lang w:val="en-US"/>
      </w:rPr>
      <w:t xml:space="preserve"> </w:t>
    </w:r>
    <w:r w:rsidR="000F5416" w:rsidRPr="00535424">
      <w:rPr>
        <w:sz w:val="20"/>
        <w:szCs w:val="20"/>
        <w:lang w:val="en-US"/>
      </w:rPr>
      <w:t xml:space="preserve">/ Journal of Mechanical Design and Testing </w:t>
    </w:r>
    <w:r w:rsidR="00C24801">
      <w:rPr>
        <w:sz w:val="20"/>
        <w:szCs w:val="20"/>
        <w:lang w:val="en-US"/>
      </w:rPr>
      <w:t>6</w:t>
    </w:r>
    <w:r w:rsidR="000F5416" w:rsidRPr="00535424">
      <w:rPr>
        <w:sz w:val="20"/>
        <w:szCs w:val="20"/>
        <w:lang w:val="en-US"/>
      </w:rPr>
      <w:t>(</w:t>
    </w:r>
    <w:r w:rsidR="00C24801">
      <w:rPr>
        <w:sz w:val="20"/>
        <w:szCs w:val="20"/>
        <w:lang w:val="en-US"/>
      </w:rPr>
      <w:t>1</w:t>
    </w:r>
    <w:r w:rsidR="000F5416" w:rsidRPr="00535424">
      <w:rPr>
        <w:sz w:val="20"/>
        <w:szCs w:val="20"/>
        <w:lang w:val="en-US"/>
      </w:rPr>
      <w:t>), (202</w:t>
    </w:r>
    <w:r w:rsidR="00C24801">
      <w:rPr>
        <w:sz w:val="20"/>
        <w:szCs w:val="20"/>
        <w:lang w:val="en-US"/>
      </w:rPr>
      <w:t>4</w:t>
    </w:r>
    <w:r w:rsidR="000F5416" w:rsidRPr="00535424">
      <w:rPr>
        <w:sz w:val="20"/>
        <w:szCs w:val="20"/>
        <w:lang w:val="en-US"/>
      </w:rPr>
      <w:t xml:space="preserve">), </w:t>
    </w:r>
    <w:r w:rsidR="006C3C96">
      <w:rPr>
        <w:sz w:val="20"/>
        <w:szCs w:val="20"/>
        <w:lang w:val="en-US"/>
      </w:rPr>
      <w:t>18-25</w:t>
    </w:r>
  </w:p>
  <w:p w14:paraId="4414D22E" w14:textId="77777777" w:rsidR="000F5416" w:rsidRDefault="00000000" w:rsidP="00AF3DFE">
    <w:pPr>
      <w:pStyle w:val="Header"/>
      <w:jc w:val="right"/>
    </w:pPr>
    <w:r>
      <w:pict w14:anchorId="415A7745">
        <v:rect id="_x0000_i1026" style="width:402.5pt;height:2pt" o:hralign="center" o:hrstd="t" o:hrnoshade="t" o:hr="t" fillcolor="black" stroked="f"/>
      </w:pict>
    </w:r>
  </w:p>
  <w:p w14:paraId="027151D6" w14:textId="77777777" w:rsidR="001A475A" w:rsidRDefault="001A475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E6175" w14:textId="2CE81F98" w:rsidR="000F5416" w:rsidRPr="00535424" w:rsidRDefault="00000000" w:rsidP="004F291A">
    <w:pPr>
      <w:pStyle w:val="Header"/>
      <w:jc w:val="center"/>
      <w:rPr>
        <w:sz w:val="20"/>
        <w:szCs w:val="20"/>
        <w:lang w:val="en-US"/>
      </w:rPr>
    </w:pPr>
    <w:r>
      <w:rPr>
        <w:noProof/>
      </w:rPr>
      <w:pict w14:anchorId="5B833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580734" o:spid="_x0000_s1027" type="#_x0000_t136" style="position:absolute;left:0;text-align:left;margin-left:0;margin-top:0;width:452.95pt;height:226.45pt;rotation:315;z-index:-251657216;mso-position-horizontal:center;mso-position-horizontal-relative:margin;mso-position-vertical:center;mso-position-vertical-relative:margin" o:allowincell="f" fillcolor="silver" stroked="f">
          <v:fill opacity=".5"/>
          <v:textpath style="font-family:&quot;Garamond&quot;;font-size:1pt" string="DRAFT"/>
          <w10:wrap anchorx="margin" anchory="margin"/>
        </v:shape>
      </w:pict>
    </w:r>
    <w:r w:rsidR="000F5416" w:rsidRPr="00C4251D">
      <w:rPr>
        <w:sz w:val="20"/>
        <w:szCs w:val="20"/>
      </w:rPr>
      <w:t xml:space="preserve">Journal of Mechanical Design and Testing </w:t>
    </w:r>
    <w:r w:rsidR="00E72382">
      <w:rPr>
        <w:sz w:val="20"/>
        <w:szCs w:val="20"/>
        <w:lang w:val="en-US"/>
      </w:rPr>
      <w:t>6</w:t>
    </w:r>
    <w:r w:rsidR="000F5416" w:rsidRPr="00C4251D">
      <w:rPr>
        <w:sz w:val="20"/>
        <w:szCs w:val="20"/>
      </w:rPr>
      <w:t>(</w:t>
    </w:r>
    <w:r w:rsidR="00E72382">
      <w:rPr>
        <w:sz w:val="20"/>
        <w:szCs w:val="20"/>
        <w:lang w:val="en-US"/>
      </w:rPr>
      <w:t>1</w:t>
    </w:r>
    <w:r w:rsidR="000F5416">
      <w:rPr>
        <w:sz w:val="20"/>
        <w:szCs w:val="20"/>
        <w:lang w:val="en-US"/>
      </w:rPr>
      <w:t>)</w:t>
    </w:r>
    <w:r w:rsidR="000F5416" w:rsidRPr="00C4251D">
      <w:rPr>
        <w:sz w:val="20"/>
        <w:szCs w:val="20"/>
      </w:rPr>
      <w:t>, (20</w:t>
    </w:r>
    <w:r w:rsidR="000F5416">
      <w:rPr>
        <w:sz w:val="20"/>
        <w:szCs w:val="20"/>
        <w:lang w:val="en-US"/>
      </w:rPr>
      <w:t>2</w:t>
    </w:r>
    <w:r w:rsidR="00E72382">
      <w:rPr>
        <w:sz w:val="20"/>
        <w:szCs w:val="20"/>
        <w:lang w:val="en-US"/>
      </w:rPr>
      <w:t>4</w:t>
    </w:r>
    <w:r w:rsidR="000F5416" w:rsidRPr="00C4251D">
      <w:rPr>
        <w:sz w:val="20"/>
        <w:szCs w:val="20"/>
      </w:rPr>
      <w:t xml:space="preserve">), </w:t>
    </w:r>
    <w:r w:rsidR="006C3C96">
      <w:rPr>
        <w:sz w:val="20"/>
        <w:szCs w:val="20"/>
        <w:lang w:val="en-US"/>
      </w:rPr>
      <w:t>18-25</w:t>
    </w:r>
  </w:p>
  <w:p w14:paraId="468422C7" w14:textId="79BFCE72" w:rsidR="000F5416" w:rsidRPr="00A11FBE" w:rsidRDefault="000F5416" w:rsidP="004F291A">
    <w:pPr>
      <w:pStyle w:val="Header"/>
      <w:jc w:val="center"/>
      <w:rPr>
        <w:sz w:val="20"/>
        <w:szCs w:val="20"/>
        <w:lang w:val="en-US"/>
      </w:rPr>
    </w:pPr>
    <w:r w:rsidRPr="00C4251D">
      <w:rPr>
        <w:sz w:val="20"/>
        <w:szCs w:val="20"/>
      </w:rPr>
      <w:t>DOI:</w:t>
    </w:r>
    <w:r>
      <w:rPr>
        <w:sz w:val="20"/>
        <w:szCs w:val="20"/>
        <w:lang w:val="en-US"/>
      </w:rPr>
      <w:t xml:space="preserve"> </w:t>
    </w:r>
  </w:p>
  <w:p w14:paraId="677EA8A5" w14:textId="43C659A3" w:rsidR="000F5416" w:rsidRDefault="000F5416" w:rsidP="00B662CB">
    <w:pPr>
      <w:pStyle w:val="Header"/>
      <w:jc w:val="center"/>
    </w:pPr>
    <w:r w:rsidRPr="00C4251D">
      <w:rPr>
        <w:sz w:val="20"/>
        <w:szCs w:val="20"/>
      </w:rPr>
      <w:t>e-ISSN: 2685-8029</w:t>
    </w:r>
    <w:r>
      <w:rPr>
        <w:sz w:val="20"/>
        <w:szCs w:val="20"/>
        <w:lang w:val="en-US"/>
      </w:rPr>
      <w:t>, ISSN: 2716-1293</w:t>
    </w:r>
  </w:p>
  <w:p w14:paraId="6882E9CF" w14:textId="77777777" w:rsidR="001A475A" w:rsidRDefault="001A47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D7652"/>
    <w:multiLevelType w:val="multilevel"/>
    <w:tmpl w:val="D0F4DB5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1DD176F"/>
    <w:multiLevelType w:val="hybridMultilevel"/>
    <w:tmpl w:val="CFF0A39C"/>
    <w:lvl w:ilvl="0" w:tplc="03807E46">
      <w:start w:val="1"/>
      <w:numFmt w:val="lowerLetter"/>
      <w:lvlText w:val="%1."/>
      <w:lvlJc w:val="left"/>
      <w:pPr>
        <w:ind w:left="360"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60C219A"/>
    <w:multiLevelType w:val="multilevel"/>
    <w:tmpl w:val="822EAAC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442C13FB"/>
    <w:multiLevelType w:val="multilevel"/>
    <w:tmpl w:val="D690099E"/>
    <w:lvl w:ilvl="0">
      <w:start w:val="1"/>
      <w:numFmt w:val="decimal"/>
      <w:pStyle w:val="Subtitle"/>
      <w:lvlText w:val="%1."/>
      <w:lvlJc w:val="left"/>
      <w:pPr>
        <w:ind w:left="720" w:hanging="360"/>
      </w:p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45690440"/>
    <w:multiLevelType w:val="hybridMultilevel"/>
    <w:tmpl w:val="D2746012"/>
    <w:lvl w:ilvl="0" w:tplc="FFFFFFFF">
      <w:start w:val="1"/>
      <w:numFmt w:val="upperLetter"/>
      <w:lvlText w:val="%1."/>
      <w:lvlJc w:val="left"/>
      <w:pPr>
        <w:ind w:left="360" w:hanging="360"/>
      </w:pPr>
      <w:rPr>
        <w:rFonts w:hint="default"/>
      </w:rPr>
    </w:lvl>
    <w:lvl w:ilvl="1" w:tplc="0409001B">
      <w:start w:val="1"/>
      <w:numFmt w:val="lowerRoman"/>
      <w:lvlText w:val="%2."/>
      <w:lvlJc w:val="right"/>
      <w:pPr>
        <w:ind w:left="1080" w:hanging="360"/>
      </w:pPr>
    </w:lvl>
    <w:lvl w:ilvl="2" w:tplc="FFFFFFFF">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564E3779"/>
    <w:multiLevelType w:val="hybridMultilevel"/>
    <w:tmpl w:val="39480630"/>
    <w:lvl w:ilvl="0" w:tplc="143A4EE6">
      <w:start w:val="1"/>
      <w:numFmt w:val="decimal"/>
      <w:pStyle w:val="Heading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1332662">
    <w:abstractNumId w:val="5"/>
  </w:num>
  <w:num w:numId="2" w16cid:durableId="1552157294">
    <w:abstractNumId w:val="3"/>
  </w:num>
  <w:num w:numId="3" w16cid:durableId="1215390008">
    <w:abstractNumId w:val="4"/>
  </w:num>
  <w:num w:numId="4" w16cid:durableId="1654289370">
    <w:abstractNumId w:val="1"/>
  </w:num>
  <w:num w:numId="5" w16cid:durableId="1060596281">
    <w:abstractNumId w:val="0"/>
  </w:num>
  <w:num w:numId="6" w16cid:durableId="133052479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567"/>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B85"/>
    <w:rsid w:val="00000AD4"/>
    <w:rsid w:val="000026E1"/>
    <w:rsid w:val="0000460E"/>
    <w:rsid w:val="0000495F"/>
    <w:rsid w:val="00007292"/>
    <w:rsid w:val="000104BD"/>
    <w:rsid w:val="000108AB"/>
    <w:rsid w:val="00010C40"/>
    <w:rsid w:val="000111B8"/>
    <w:rsid w:val="0001383A"/>
    <w:rsid w:val="00014D71"/>
    <w:rsid w:val="000161A2"/>
    <w:rsid w:val="00016EE0"/>
    <w:rsid w:val="0002148C"/>
    <w:rsid w:val="000240D8"/>
    <w:rsid w:val="00024987"/>
    <w:rsid w:val="000252B8"/>
    <w:rsid w:val="0002635A"/>
    <w:rsid w:val="000302A6"/>
    <w:rsid w:val="00034DC5"/>
    <w:rsid w:val="00036739"/>
    <w:rsid w:val="000370F5"/>
    <w:rsid w:val="00037198"/>
    <w:rsid w:val="00037919"/>
    <w:rsid w:val="00041D77"/>
    <w:rsid w:val="00042061"/>
    <w:rsid w:val="000448AD"/>
    <w:rsid w:val="000466ED"/>
    <w:rsid w:val="00047C09"/>
    <w:rsid w:val="00051B8B"/>
    <w:rsid w:val="0005598A"/>
    <w:rsid w:val="00055D61"/>
    <w:rsid w:val="000571D6"/>
    <w:rsid w:val="00060E5E"/>
    <w:rsid w:val="000615F5"/>
    <w:rsid w:val="000636F7"/>
    <w:rsid w:val="00063860"/>
    <w:rsid w:val="000638A0"/>
    <w:rsid w:val="00070364"/>
    <w:rsid w:val="000727DE"/>
    <w:rsid w:val="0007570D"/>
    <w:rsid w:val="0007582B"/>
    <w:rsid w:val="000770B6"/>
    <w:rsid w:val="00077519"/>
    <w:rsid w:val="00080B79"/>
    <w:rsid w:val="00082C61"/>
    <w:rsid w:val="00083482"/>
    <w:rsid w:val="0008407F"/>
    <w:rsid w:val="0008751D"/>
    <w:rsid w:val="00087564"/>
    <w:rsid w:val="00092DEE"/>
    <w:rsid w:val="000A1C11"/>
    <w:rsid w:val="000A2510"/>
    <w:rsid w:val="000A34F5"/>
    <w:rsid w:val="000A50F1"/>
    <w:rsid w:val="000A5E39"/>
    <w:rsid w:val="000B14D9"/>
    <w:rsid w:val="000B2D68"/>
    <w:rsid w:val="000B2FD7"/>
    <w:rsid w:val="000B4FA3"/>
    <w:rsid w:val="000B709C"/>
    <w:rsid w:val="000B733C"/>
    <w:rsid w:val="000C0A80"/>
    <w:rsid w:val="000C0AF2"/>
    <w:rsid w:val="000C16D0"/>
    <w:rsid w:val="000C17C7"/>
    <w:rsid w:val="000C4AF6"/>
    <w:rsid w:val="000C4B5D"/>
    <w:rsid w:val="000C4D2A"/>
    <w:rsid w:val="000C5037"/>
    <w:rsid w:val="000C5EF7"/>
    <w:rsid w:val="000C6163"/>
    <w:rsid w:val="000C6F91"/>
    <w:rsid w:val="000C7C7A"/>
    <w:rsid w:val="000D0672"/>
    <w:rsid w:val="000D2897"/>
    <w:rsid w:val="000D304C"/>
    <w:rsid w:val="000D4B91"/>
    <w:rsid w:val="000D4FC4"/>
    <w:rsid w:val="000D5116"/>
    <w:rsid w:val="000D6636"/>
    <w:rsid w:val="000D66C3"/>
    <w:rsid w:val="000E324F"/>
    <w:rsid w:val="000E4F36"/>
    <w:rsid w:val="000E51C2"/>
    <w:rsid w:val="000E54F6"/>
    <w:rsid w:val="000E5652"/>
    <w:rsid w:val="000E76C4"/>
    <w:rsid w:val="000E7FC8"/>
    <w:rsid w:val="000F4CBD"/>
    <w:rsid w:val="000F5416"/>
    <w:rsid w:val="000F5EA5"/>
    <w:rsid w:val="00100246"/>
    <w:rsid w:val="0010112E"/>
    <w:rsid w:val="00106966"/>
    <w:rsid w:val="00107E32"/>
    <w:rsid w:val="00107F56"/>
    <w:rsid w:val="00110118"/>
    <w:rsid w:val="00111A9D"/>
    <w:rsid w:val="00111B06"/>
    <w:rsid w:val="0011788D"/>
    <w:rsid w:val="001178E1"/>
    <w:rsid w:val="00123840"/>
    <w:rsid w:val="0013267A"/>
    <w:rsid w:val="00133CB2"/>
    <w:rsid w:val="00135476"/>
    <w:rsid w:val="0013750E"/>
    <w:rsid w:val="00144FF4"/>
    <w:rsid w:val="00145654"/>
    <w:rsid w:val="001459A5"/>
    <w:rsid w:val="00145B28"/>
    <w:rsid w:val="00147A9F"/>
    <w:rsid w:val="00151F81"/>
    <w:rsid w:val="00152A1B"/>
    <w:rsid w:val="00153101"/>
    <w:rsid w:val="0015404D"/>
    <w:rsid w:val="00154375"/>
    <w:rsid w:val="001600D5"/>
    <w:rsid w:val="00163B7E"/>
    <w:rsid w:val="00163BA8"/>
    <w:rsid w:val="00166254"/>
    <w:rsid w:val="0016703B"/>
    <w:rsid w:val="00167406"/>
    <w:rsid w:val="001678D9"/>
    <w:rsid w:val="00167AE4"/>
    <w:rsid w:val="00171D2C"/>
    <w:rsid w:val="001738A2"/>
    <w:rsid w:val="0017394E"/>
    <w:rsid w:val="00176447"/>
    <w:rsid w:val="00176977"/>
    <w:rsid w:val="00181016"/>
    <w:rsid w:val="00182142"/>
    <w:rsid w:val="0018293C"/>
    <w:rsid w:val="00184927"/>
    <w:rsid w:val="00190061"/>
    <w:rsid w:val="0019019A"/>
    <w:rsid w:val="001911C9"/>
    <w:rsid w:val="0019196D"/>
    <w:rsid w:val="00191D75"/>
    <w:rsid w:val="00193439"/>
    <w:rsid w:val="001936BE"/>
    <w:rsid w:val="00194671"/>
    <w:rsid w:val="00195E66"/>
    <w:rsid w:val="00196459"/>
    <w:rsid w:val="001970C1"/>
    <w:rsid w:val="00197C0F"/>
    <w:rsid w:val="00197CD7"/>
    <w:rsid w:val="001A04F5"/>
    <w:rsid w:val="001A14C0"/>
    <w:rsid w:val="001A1D8D"/>
    <w:rsid w:val="001A2470"/>
    <w:rsid w:val="001A475A"/>
    <w:rsid w:val="001B00D5"/>
    <w:rsid w:val="001B03E0"/>
    <w:rsid w:val="001B23D4"/>
    <w:rsid w:val="001B2A84"/>
    <w:rsid w:val="001B2B88"/>
    <w:rsid w:val="001B375A"/>
    <w:rsid w:val="001B3951"/>
    <w:rsid w:val="001B40A7"/>
    <w:rsid w:val="001B5703"/>
    <w:rsid w:val="001B7809"/>
    <w:rsid w:val="001C0C45"/>
    <w:rsid w:val="001C157C"/>
    <w:rsid w:val="001D0D7E"/>
    <w:rsid w:val="001D2F2B"/>
    <w:rsid w:val="001D39A5"/>
    <w:rsid w:val="001D4240"/>
    <w:rsid w:val="001D4ABB"/>
    <w:rsid w:val="001D4BB2"/>
    <w:rsid w:val="001D6794"/>
    <w:rsid w:val="001D77F2"/>
    <w:rsid w:val="001E382A"/>
    <w:rsid w:val="001F00D8"/>
    <w:rsid w:val="001F1451"/>
    <w:rsid w:val="001F1FE5"/>
    <w:rsid w:val="001F2883"/>
    <w:rsid w:val="001F4160"/>
    <w:rsid w:val="001F457C"/>
    <w:rsid w:val="001F6A8F"/>
    <w:rsid w:val="00200DA1"/>
    <w:rsid w:val="0020426E"/>
    <w:rsid w:val="0021112A"/>
    <w:rsid w:val="00212728"/>
    <w:rsid w:val="00213559"/>
    <w:rsid w:val="002136B9"/>
    <w:rsid w:val="0021378E"/>
    <w:rsid w:val="00216000"/>
    <w:rsid w:val="00216370"/>
    <w:rsid w:val="00223A33"/>
    <w:rsid w:val="002309EE"/>
    <w:rsid w:val="00231BE0"/>
    <w:rsid w:val="00231CB1"/>
    <w:rsid w:val="00233E5A"/>
    <w:rsid w:val="00234127"/>
    <w:rsid w:val="00235628"/>
    <w:rsid w:val="00236DA8"/>
    <w:rsid w:val="002408EF"/>
    <w:rsid w:val="00242499"/>
    <w:rsid w:val="00242B59"/>
    <w:rsid w:val="0024300F"/>
    <w:rsid w:val="00251C29"/>
    <w:rsid w:val="0025423B"/>
    <w:rsid w:val="00255DC3"/>
    <w:rsid w:val="002612DF"/>
    <w:rsid w:val="002623EC"/>
    <w:rsid w:val="00263B79"/>
    <w:rsid w:val="002641D7"/>
    <w:rsid w:val="002648E5"/>
    <w:rsid w:val="00264E29"/>
    <w:rsid w:val="002652B7"/>
    <w:rsid w:val="00267698"/>
    <w:rsid w:val="00267CAE"/>
    <w:rsid w:val="00267ECC"/>
    <w:rsid w:val="002703B9"/>
    <w:rsid w:val="00275769"/>
    <w:rsid w:val="00280A46"/>
    <w:rsid w:val="00280F92"/>
    <w:rsid w:val="00282469"/>
    <w:rsid w:val="002843EA"/>
    <w:rsid w:val="00285FE0"/>
    <w:rsid w:val="002865A8"/>
    <w:rsid w:val="00287CB5"/>
    <w:rsid w:val="00287EAA"/>
    <w:rsid w:val="002908E1"/>
    <w:rsid w:val="00291CEF"/>
    <w:rsid w:val="00292A99"/>
    <w:rsid w:val="00292E7A"/>
    <w:rsid w:val="00295DDA"/>
    <w:rsid w:val="002A1BFB"/>
    <w:rsid w:val="002A2B9C"/>
    <w:rsid w:val="002A39D2"/>
    <w:rsid w:val="002A64E8"/>
    <w:rsid w:val="002B15FD"/>
    <w:rsid w:val="002B377B"/>
    <w:rsid w:val="002B495C"/>
    <w:rsid w:val="002B5FA6"/>
    <w:rsid w:val="002C16A1"/>
    <w:rsid w:val="002C3D2F"/>
    <w:rsid w:val="002C65B5"/>
    <w:rsid w:val="002C6DB5"/>
    <w:rsid w:val="002D0737"/>
    <w:rsid w:val="002D26EC"/>
    <w:rsid w:val="002D35B3"/>
    <w:rsid w:val="002D544B"/>
    <w:rsid w:val="002D65C9"/>
    <w:rsid w:val="002D7FBF"/>
    <w:rsid w:val="002E27C4"/>
    <w:rsid w:val="002E2FD1"/>
    <w:rsid w:val="002E394E"/>
    <w:rsid w:val="002E4187"/>
    <w:rsid w:val="002E485D"/>
    <w:rsid w:val="002E4B83"/>
    <w:rsid w:val="002E5451"/>
    <w:rsid w:val="002E55E4"/>
    <w:rsid w:val="002E61C5"/>
    <w:rsid w:val="002F137C"/>
    <w:rsid w:val="002F250D"/>
    <w:rsid w:val="002F344D"/>
    <w:rsid w:val="002F423A"/>
    <w:rsid w:val="002F5D96"/>
    <w:rsid w:val="002F7153"/>
    <w:rsid w:val="00303204"/>
    <w:rsid w:val="00305F1D"/>
    <w:rsid w:val="00306058"/>
    <w:rsid w:val="00307EAA"/>
    <w:rsid w:val="003101E3"/>
    <w:rsid w:val="003145B7"/>
    <w:rsid w:val="00317D7B"/>
    <w:rsid w:val="003209D8"/>
    <w:rsid w:val="003220DB"/>
    <w:rsid w:val="003237C5"/>
    <w:rsid w:val="0032469A"/>
    <w:rsid w:val="00330651"/>
    <w:rsid w:val="003321D9"/>
    <w:rsid w:val="003339BA"/>
    <w:rsid w:val="003351D6"/>
    <w:rsid w:val="00341CD3"/>
    <w:rsid w:val="00341DF6"/>
    <w:rsid w:val="00342AEF"/>
    <w:rsid w:val="00343513"/>
    <w:rsid w:val="003435E5"/>
    <w:rsid w:val="003440B6"/>
    <w:rsid w:val="00344B42"/>
    <w:rsid w:val="00345AE0"/>
    <w:rsid w:val="00345D47"/>
    <w:rsid w:val="003500A4"/>
    <w:rsid w:val="00352ECE"/>
    <w:rsid w:val="00355E4C"/>
    <w:rsid w:val="0035649C"/>
    <w:rsid w:val="00357C70"/>
    <w:rsid w:val="00362986"/>
    <w:rsid w:val="003635AD"/>
    <w:rsid w:val="003636CC"/>
    <w:rsid w:val="00364A98"/>
    <w:rsid w:val="0037105F"/>
    <w:rsid w:val="00372F11"/>
    <w:rsid w:val="00373934"/>
    <w:rsid w:val="00374549"/>
    <w:rsid w:val="003746C9"/>
    <w:rsid w:val="00376AEA"/>
    <w:rsid w:val="003770B8"/>
    <w:rsid w:val="0037711A"/>
    <w:rsid w:val="00377B7C"/>
    <w:rsid w:val="00377E38"/>
    <w:rsid w:val="003807B4"/>
    <w:rsid w:val="00381069"/>
    <w:rsid w:val="003856DC"/>
    <w:rsid w:val="003858A3"/>
    <w:rsid w:val="0038717C"/>
    <w:rsid w:val="00387AD6"/>
    <w:rsid w:val="00387B08"/>
    <w:rsid w:val="00390992"/>
    <w:rsid w:val="00393090"/>
    <w:rsid w:val="00394F01"/>
    <w:rsid w:val="003970A2"/>
    <w:rsid w:val="003A1E7A"/>
    <w:rsid w:val="003A38C9"/>
    <w:rsid w:val="003A5CD2"/>
    <w:rsid w:val="003B052E"/>
    <w:rsid w:val="003B30F9"/>
    <w:rsid w:val="003B3239"/>
    <w:rsid w:val="003B60F0"/>
    <w:rsid w:val="003B628D"/>
    <w:rsid w:val="003C140E"/>
    <w:rsid w:val="003C203B"/>
    <w:rsid w:val="003C3F9F"/>
    <w:rsid w:val="003C44EA"/>
    <w:rsid w:val="003C597B"/>
    <w:rsid w:val="003C6726"/>
    <w:rsid w:val="003C7523"/>
    <w:rsid w:val="003D1B26"/>
    <w:rsid w:val="003D61FD"/>
    <w:rsid w:val="003D7293"/>
    <w:rsid w:val="003E418E"/>
    <w:rsid w:val="003E707E"/>
    <w:rsid w:val="003F0B61"/>
    <w:rsid w:val="003F292D"/>
    <w:rsid w:val="0040053B"/>
    <w:rsid w:val="00401700"/>
    <w:rsid w:val="00401F13"/>
    <w:rsid w:val="00403553"/>
    <w:rsid w:val="00404ABB"/>
    <w:rsid w:val="00406A81"/>
    <w:rsid w:val="004071AB"/>
    <w:rsid w:val="00410493"/>
    <w:rsid w:val="004104D5"/>
    <w:rsid w:val="00412B79"/>
    <w:rsid w:val="00414A7E"/>
    <w:rsid w:val="00420069"/>
    <w:rsid w:val="00420751"/>
    <w:rsid w:val="00420A73"/>
    <w:rsid w:val="00421248"/>
    <w:rsid w:val="00421F4A"/>
    <w:rsid w:val="004222A5"/>
    <w:rsid w:val="00423F4D"/>
    <w:rsid w:val="0042488A"/>
    <w:rsid w:val="004259D8"/>
    <w:rsid w:val="00426298"/>
    <w:rsid w:val="0042646F"/>
    <w:rsid w:val="0043239B"/>
    <w:rsid w:val="00433321"/>
    <w:rsid w:val="004342AF"/>
    <w:rsid w:val="004366BC"/>
    <w:rsid w:val="00437565"/>
    <w:rsid w:val="004375FA"/>
    <w:rsid w:val="00441601"/>
    <w:rsid w:val="00444B32"/>
    <w:rsid w:val="004450B8"/>
    <w:rsid w:val="004453D4"/>
    <w:rsid w:val="0044548D"/>
    <w:rsid w:val="00447E8D"/>
    <w:rsid w:val="004512A5"/>
    <w:rsid w:val="00453FB0"/>
    <w:rsid w:val="004541F9"/>
    <w:rsid w:val="00456935"/>
    <w:rsid w:val="00463E4E"/>
    <w:rsid w:val="0046402B"/>
    <w:rsid w:val="00464200"/>
    <w:rsid w:val="00465C80"/>
    <w:rsid w:val="00466F45"/>
    <w:rsid w:val="00470B5E"/>
    <w:rsid w:val="00471421"/>
    <w:rsid w:val="004725E1"/>
    <w:rsid w:val="00473A16"/>
    <w:rsid w:val="00473BBB"/>
    <w:rsid w:val="004745A7"/>
    <w:rsid w:val="004767B2"/>
    <w:rsid w:val="00480B95"/>
    <w:rsid w:val="00482F69"/>
    <w:rsid w:val="00484662"/>
    <w:rsid w:val="00484A61"/>
    <w:rsid w:val="00487D06"/>
    <w:rsid w:val="004907B5"/>
    <w:rsid w:val="00490C47"/>
    <w:rsid w:val="00490F4B"/>
    <w:rsid w:val="00491AA7"/>
    <w:rsid w:val="00491F72"/>
    <w:rsid w:val="0049407C"/>
    <w:rsid w:val="00494848"/>
    <w:rsid w:val="004948D4"/>
    <w:rsid w:val="00494C40"/>
    <w:rsid w:val="00494D9E"/>
    <w:rsid w:val="00495401"/>
    <w:rsid w:val="00495DF4"/>
    <w:rsid w:val="004A1714"/>
    <w:rsid w:val="004A283C"/>
    <w:rsid w:val="004A441D"/>
    <w:rsid w:val="004A56C4"/>
    <w:rsid w:val="004B1228"/>
    <w:rsid w:val="004B1820"/>
    <w:rsid w:val="004B1D96"/>
    <w:rsid w:val="004B2582"/>
    <w:rsid w:val="004B2589"/>
    <w:rsid w:val="004B2D6D"/>
    <w:rsid w:val="004B3347"/>
    <w:rsid w:val="004B6F83"/>
    <w:rsid w:val="004B79E9"/>
    <w:rsid w:val="004C13E7"/>
    <w:rsid w:val="004C19CD"/>
    <w:rsid w:val="004C32AF"/>
    <w:rsid w:val="004C4353"/>
    <w:rsid w:val="004D5056"/>
    <w:rsid w:val="004D5437"/>
    <w:rsid w:val="004D579A"/>
    <w:rsid w:val="004D6145"/>
    <w:rsid w:val="004D63A7"/>
    <w:rsid w:val="004D6BF5"/>
    <w:rsid w:val="004D6FE3"/>
    <w:rsid w:val="004D73FB"/>
    <w:rsid w:val="004E009C"/>
    <w:rsid w:val="004E05A9"/>
    <w:rsid w:val="004E0C3A"/>
    <w:rsid w:val="004E20DB"/>
    <w:rsid w:val="004E2C5C"/>
    <w:rsid w:val="004E3729"/>
    <w:rsid w:val="004E4C92"/>
    <w:rsid w:val="004E5950"/>
    <w:rsid w:val="004E5AC0"/>
    <w:rsid w:val="004E6E09"/>
    <w:rsid w:val="004F18DE"/>
    <w:rsid w:val="004F1E99"/>
    <w:rsid w:val="004F21C0"/>
    <w:rsid w:val="004F291A"/>
    <w:rsid w:val="004F400D"/>
    <w:rsid w:val="004F4039"/>
    <w:rsid w:val="004F40B7"/>
    <w:rsid w:val="004F6848"/>
    <w:rsid w:val="004F7E7A"/>
    <w:rsid w:val="005005A2"/>
    <w:rsid w:val="00500F70"/>
    <w:rsid w:val="00507FD8"/>
    <w:rsid w:val="00512936"/>
    <w:rsid w:val="00513F09"/>
    <w:rsid w:val="00513FD6"/>
    <w:rsid w:val="00515270"/>
    <w:rsid w:val="00515BE9"/>
    <w:rsid w:val="005160CD"/>
    <w:rsid w:val="00520301"/>
    <w:rsid w:val="00520D76"/>
    <w:rsid w:val="005213B8"/>
    <w:rsid w:val="00521784"/>
    <w:rsid w:val="00522831"/>
    <w:rsid w:val="00522947"/>
    <w:rsid w:val="005241BB"/>
    <w:rsid w:val="00527426"/>
    <w:rsid w:val="005314D3"/>
    <w:rsid w:val="0053220B"/>
    <w:rsid w:val="00533C06"/>
    <w:rsid w:val="00534C6D"/>
    <w:rsid w:val="00535424"/>
    <w:rsid w:val="005360AA"/>
    <w:rsid w:val="00537255"/>
    <w:rsid w:val="00537B3A"/>
    <w:rsid w:val="00537CEC"/>
    <w:rsid w:val="00540628"/>
    <w:rsid w:val="005446A7"/>
    <w:rsid w:val="005452C2"/>
    <w:rsid w:val="00545A7A"/>
    <w:rsid w:val="005461F1"/>
    <w:rsid w:val="0054690D"/>
    <w:rsid w:val="005473C9"/>
    <w:rsid w:val="005479B0"/>
    <w:rsid w:val="00550707"/>
    <w:rsid w:val="00550D88"/>
    <w:rsid w:val="00552CF5"/>
    <w:rsid w:val="0055334A"/>
    <w:rsid w:val="00554FE9"/>
    <w:rsid w:val="005554AE"/>
    <w:rsid w:val="00555CE8"/>
    <w:rsid w:val="00557763"/>
    <w:rsid w:val="0056081B"/>
    <w:rsid w:val="00561BBC"/>
    <w:rsid w:val="005627B2"/>
    <w:rsid w:val="00563107"/>
    <w:rsid w:val="00563959"/>
    <w:rsid w:val="00565B28"/>
    <w:rsid w:val="005663C3"/>
    <w:rsid w:val="00570458"/>
    <w:rsid w:val="00572437"/>
    <w:rsid w:val="00573D50"/>
    <w:rsid w:val="0057416B"/>
    <w:rsid w:val="00577411"/>
    <w:rsid w:val="005805CE"/>
    <w:rsid w:val="00582304"/>
    <w:rsid w:val="005830FE"/>
    <w:rsid w:val="00585F44"/>
    <w:rsid w:val="00590449"/>
    <w:rsid w:val="0059279D"/>
    <w:rsid w:val="00592F65"/>
    <w:rsid w:val="005945F0"/>
    <w:rsid w:val="005A446E"/>
    <w:rsid w:val="005A489B"/>
    <w:rsid w:val="005A559F"/>
    <w:rsid w:val="005A581E"/>
    <w:rsid w:val="005B1E50"/>
    <w:rsid w:val="005B1EE3"/>
    <w:rsid w:val="005B2DBF"/>
    <w:rsid w:val="005B422F"/>
    <w:rsid w:val="005B4719"/>
    <w:rsid w:val="005B5344"/>
    <w:rsid w:val="005B60EE"/>
    <w:rsid w:val="005B7999"/>
    <w:rsid w:val="005C14C9"/>
    <w:rsid w:val="005C17C7"/>
    <w:rsid w:val="005C1E99"/>
    <w:rsid w:val="005C2EC9"/>
    <w:rsid w:val="005C3AE6"/>
    <w:rsid w:val="005D0931"/>
    <w:rsid w:val="005D13F0"/>
    <w:rsid w:val="005D354A"/>
    <w:rsid w:val="005D5587"/>
    <w:rsid w:val="005D55D6"/>
    <w:rsid w:val="005D5EF2"/>
    <w:rsid w:val="005D604B"/>
    <w:rsid w:val="005D6611"/>
    <w:rsid w:val="005D6B89"/>
    <w:rsid w:val="005D7D58"/>
    <w:rsid w:val="005E09FF"/>
    <w:rsid w:val="005E35EC"/>
    <w:rsid w:val="005E36CD"/>
    <w:rsid w:val="005E4537"/>
    <w:rsid w:val="005E4649"/>
    <w:rsid w:val="005E70B9"/>
    <w:rsid w:val="005E7C53"/>
    <w:rsid w:val="005F2754"/>
    <w:rsid w:val="005F3D0E"/>
    <w:rsid w:val="005F4BB6"/>
    <w:rsid w:val="005F503D"/>
    <w:rsid w:val="005F61AB"/>
    <w:rsid w:val="005F6436"/>
    <w:rsid w:val="005F67ED"/>
    <w:rsid w:val="005F6FF4"/>
    <w:rsid w:val="005F732B"/>
    <w:rsid w:val="00600217"/>
    <w:rsid w:val="00600A42"/>
    <w:rsid w:val="006043BB"/>
    <w:rsid w:val="0060552C"/>
    <w:rsid w:val="00610B45"/>
    <w:rsid w:val="006115D9"/>
    <w:rsid w:val="00611E34"/>
    <w:rsid w:val="0061291B"/>
    <w:rsid w:val="006148C1"/>
    <w:rsid w:val="00614AA5"/>
    <w:rsid w:val="00614B5F"/>
    <w:rsid w:val="00614E5A"/>
    <w:rsid w:val="0061594F"/>
    <w:rsid w:val="0061755E"/>
    <w:rsid w:val="00617CA9"/>
    <w:rsid w:val="00621E70"/>
    <w:rsid w:val="0062579D"/>
    <w:rsid w:val="00632D40"/>
    <w:rsid w:val="00635FFF"/>
    <w:rsid w:val="00637FD6"/>
    <w:rsid w:val="00641538"/>
    <w:rsid w:val="00642C06"/>
    <w:rsid w:val="006430CC"/>
    <w:rsid w:val="00644E7F"/>
    <w:rsid w:val="00645DFA"/>
    <w:rsid w:val="00646348"/>
    <w:rsid w:val="00647E6F"/>
    <w:rsid w:val="0065056F"/>
    <w:rsid w:val="0065080B"/>
    <w:rsid w:val="006534B9"/>
    <w:rsid w:val="006552A8"/>
    <w:rsid w:val="0065550E"/>
    <w:rsid w:val="00656553"/>
    <w:rsid w:val="00657988"/>
    <w:rsid w:val="00660168"/>
    <w:rsid w:val="00661342"/>
    <w:rsid w:val="00671030"/>
    <w:rsid w:val="00671755"/>
    <w:rsid w:val="0067270E"/>
    <w:rsid w:val="00674295"/>
    <w:rsid w:val="006801F4"/>
    <w:rsid w:val="00680A2D"/>
    <w:rsid w:val="0068312F"/>
    <w:rsid w:val="00685162"/>
    <w:rsid w:val="006853FC"/>
    <w:rsid w:val="006855BD"/>
    <w:rsid w:val="00686623"/>
    <w:rsid w:val="00686D4C"/>
    <w:rsid w:val="00687CCA"/>
    <w:rsid w:val="006902DF"/>
    <w:rsid w:val="00692BF4"/>
    <w:rsid w:val="00693398"/>
    <w:rsid w:val="00694AA7"/>
    <w:rsid w:val="0069534F"/>
    <w:rsid w:val="006958FB"/>
    <w:rsid w:val="006A074E"/>
    <w:rsid w:val="006A15F2"/>
    <w:rsid w:val="006A43FA"/>
    <w:rsid w:val="006A6842"/>
    <w:rsid w:val="006B03A7"/>
    <w:rsid w:val="006B25A9"/>
    <w:rsid w:val="006B2ECB"/>
    <w:rsid w:val="006B64CD"/>
    <w:rsid w:val="006B6FE2"/>
    <w:rsid w:val="006B732C"/>
    <w:rsid w:val="006B77DC"/>
    <w:rsid w:val="006B7F71"/>
    <w:rsid w:val="006C0B3C"/>
    <w:rsid w:val="006C1C41"/>
    <w:rsid w:val="006C2B3F"/>
    <w:rsid w:val="006C3C96"/>
    <w:rsid w:val="006C40FA"/>
    <w:rsid w:val="006C4148"/>
    <w:rsid w:val="006C4DC0"/>
    <w:rsid w:val="006C79CD"/>
    <w:rsid w:val="006D3285"/>
    <w:rsid w:val="006D43A5"/>
    <w:rsid w:val="006D6BA1"/>
    <w:rsid w:val="006E6685"/>
    <w:rsid w:val="006F0403"/>
    <w:rsid w:val="006F2925"/>
    <w:rsid w:val="006F460E"/>
    <w:rsid w:val="006F462A"/>
    <w:rsid w:val="006F5F03"/>
    <w:rsid w:val="006F67A3"/>
    <w:rsid w:val="0070044D"/>
    <w:rsid w:val="00701F1A"/>
    <w:rsid w:val="007033D8"/>
    <w:rsid w:val="0070353A"/>
    <w:rsid w:val="0070415B"/>
    <w:rsid w:val="00704514"/>
    <w:rsid w:val="00704EF8"/>
    <w:rsid w:val="00706F92"/>
    <w:rsid w:val="00707016"/>
    <w:rsid w:val="007075A3"/>
    <w:rsid w:val="00710706"/>
    <w:rsid w:val="0071352B"/>
    <w:rsid w:val="00713AE0"/>
    <w:rsid w:val="007156A8"/>
    <w:rsid w:val="00716152"/>
    <w:rsid w:val="00717896"/>
    <w:rsid w:val="00717BFE"/>
    <w:rsid w:val="00720D9C"/>
    <w:rsid w:val="00723177"/>
    <w:rsid w:val="00725B2F"/>
    <w:rsid w:val="0072674E"/>
    <w:rsid w:val="00732A25"/>
    <w:rsid w:val="00733534"/>
    <w:rsid w:val="007417F0"/>
    <w:rsid w:val="0074278F"/>
    <w:rsid w:val="00744CE0"/>
    <w:rsid w:val="0074559D"/>
    <w:rsid w:val="00746C48"/>
    <w:rsid w:val="007475E5"/>
    <w:rsid w:val="0075029A"/>
    <w:rsid w:val="0075187A"/>
    <w:rsid w:val="007537E9"/>
    <w:rsid w:val="00756E70"/>
    <w:rsid w:val="00760FCB"/>
    <w:rsid w:val="00766CD7"/>
    <w:rsid w:val="007704B1"/>
    <w:rsid w:val="00770D0A"/>
    <w:rsid w:val="00772C6F"/>
    <w:rsid w:val="007742AE"/>
    <w:rsid w:val="0078018F"/>
    <w:rsid w:val="0078028B"/>
    <w:rsid w:val="007807FF"/>
    <w:rsid w:val="00780E51"/>
    <w:rsid w:val="0078361F"/>
    <w:rsid w:val="00783D87"/>
    <w:rsid w:val="00784BF4"/>
    <w:rsid w:val="0078602A"/>
    <w:rsid w:val="00786A1A"/>
    <w:rsid w:val="007912B7"/>
    <w:rsid w:val="007920E5"/>
    <w:rsid w:val="0079274A"/>
    <w:rsid w:val="0079488A"/>
    <w:rsid w:val="00794BE2"/>
    <w:rsid w:val="007960A6"/>
    <w:rsid w:val="007A5C92"/>
    <w:rsid w:val="007A7F0C"/>
    <w:rsid w:val="007B137E"/>
    <w:rsid w:val="007B17EC"/>
    <w:rsid w:val="007B2DF6"/>
    <w:rsid w:val="007B473E"/>
    <w:rsid w:val="007B6408"/>
    <w:rsid w:val="007B6CAA"/>
    <w:rsid w:val="007C2CE5"/>
    <w:rsid w:val="007C2D47"/>
    <w:rsid w:val="007C3478"/>
    <w:rsid w:val="007C521F"/>
    <w:rsid w:val="007C60A6"/>
    <w:rsid w:val="007C7F4E"/>
    <w:rsid w:val="007D3A67"/>
    <w:rsid w:val="007D6137"/>
    <w:rsid w:val="007D6387"/>
    <w:rsid w:val="007E08B1"/>
    <w:rsid w:val="007E22F6"/>
    <w:rsid w:val="007E6B92"/>
    <w:rsid w:val="007F003C"/>
    <w:rsid w:val="007F0D8B"/>
    <w:rsid w:val="007F2CBF"/>
    <w:rsid w:val="007F6DC0"/>
    <w:rsid w:val="008024CD"/>
    <w:rsid w:val="00802C39"/>
    <w:rsid w:val="00802E5D"/>
    <w:rsid w:val="008041FA"/>
    <w:rsid w:val="00810270"/>
    <w:rsid w:val="00810D6A"/>
    <w:rsid w:val="008118DE"/>
    <w:rsid w:val="00812329"/>
    <w:rsid w:val="008132A4"/>
    <w:rsid w:val="008143CC"/>
    <w:rsid w:val="00822A6B"/>
    <w:rsid w:val="00823F7C"/>
    <w:rsid w:val="00824E18"/>
    <w:rsid w:val="00825B3E"/>
    <w:rsid w:val="00830008"/>
    <w:rsid w:val="00830648"/>
    <w:rsid w:val="00830BAB"/>
    <w:rsid w:val="0083218E"/>
    <w:rsid w:val="00834796"/>
    <w:rsid w:val="008366E0"/>
    <w:rsid w:val="0083707C"/>
    <w:rsid w:val="0083763C"/>
    <w:rsid w:val="00840C5C"/>
    <w:rsid w:val="00841917"/>
    <w:rsid w:val="00841CBA"/>
    <w:rsid w:val="008448E7"/>
    <w:rsid w:val="00850F00"/>
    <w:rsid w:val="00851A91"/>
    <w:rsid w:val="00853A24"/>
    <w:rsid w:val="0085623B"/>
    <w:rsid w:val="008566E6"/>
    <w:rsid w:val="00856991"/>
    <w:rsid w:val="008569A2"/>
    <w:rsid w:val="0085782C"/>
    <w:rsid w:val="00857DAF"/>
    <w:rsid w:val="00860A40"/>
    <w:rsid w:val="00863E19"/>
    <w:rsid w:val="00864318"/>
    <w:rsid w:val="00866ECE"/>
    <w:rsid w:val="00870F08"/>
    <w:rsid w:val="008717DE"/>
    <w:rsid w:val="008723AB"/>
    <w:rsid w:val="008731D3"/>
    <w:rsid w:val="0087419E"/>
    <w:rsid w:val="008749A8"/>
    <w:rsid w:val="00875323"/>
    <w:rsid w:val="00875880"/>
    <w:rsid w:val="00875B4C"/>
    <w:rsid w:val="00880D14"/>
    <w:rsid w:val="00883BB6"/>
    <w:rsid w:val="008848DE"/>
    <w:rsid w:val="008859BC"/>
    <w:rsid w:val="00887910"/>
    <w:rsid w:val="008A096F"/>
    <w:rsid w:val="008A2D71"/>
    <w:rsid w:val="008A4FF1"/>
    <w:rsid w:val="008A5C8A"/>
    <w:rsid w:val="008B11EC"/>
    <w:rsid w:val="008B7CDC"/>
    <w:rsid w:val="008C10B3"/>
    <w:rsid w:val="008C13EF"/>
    <w:rsid w:val="008C46CC"/>
    <w:rsid w:val="008C5B2C"/>
    <w:rsid w:val="008C5BA7"/>
    <w:rsid w:val="008C640B"/>
    <w:rsid w:val="008D0B19"/>
    <w:rsid w:val="008D4574"/>
    <w:rsid w:val="008D4B28"/>
    <w:rsid w:val="008D5AE1"/>
    <w:rsid w:val="008D60E4"/>
    <w:rsid w:val="008D60EB"/>
    <w:rsid w:val="008D6661"/>
    <w:rsid w:val="008D7800"/>
    <w:rsid w:val="008E096C"/>
    <w:rsid w:val="008E2497"/>
    <w:rsid w:val="008E3939"/>
    <w:rsid w:val="008E3DF5"/>
    <w:rsid w:val="008E785F"/>
    <w:rsid w:val="008F1340"/>
    <w:rsid w:val="008F1AD1"/>
    <w:rsid w:val="008F214C"/>
    <w:rsid w:val="008F25BE"/>
    <w:rsid w:val="008F2C60"/>
    <w:rsid w:val="008F314D"/>
    <w:rsid w:val="008F5764"/>
    <w:rsid w:val="008F5FC7"/>
    <w:rsid w:val="00900EAA"/>
    <w:rsid w:val="009010A2"/>
    <w:rsid w:val="00902F42"/>
    <w:rsid w:val="00903246"/>
    <w:rsid w:val="00904E98"/>
    <w:rsid w:val="009071CE"/>
    <w:rsid w:val="00910561"/>
    <w:rsid w:val="00911956"/>
    <w:rsid w:val="00911FD3"/>
    <w:rsid w:val="00912F34"/>
    <w:rsid w:val="009138E3"/>
    <w:rsid w:val="0091414B"/>
    <w:rsid w:val="00914581"/>
    <w:rsid w:val="00915043"/>
    <w:rsid w:val="0091512E"/>
    <w:rsid w:val="009163D0"/>
    <w:rsid w:val="00916DBE"/>
    <w:rsid w:val="00917BFC"/>
    <w:rsid w:val="009200BD"/>
    <w:rsid w:val="009218CA"/>
    <w:rsid w:val="009226D4"/>
    <w:rsid w:val="009230FF"/>
    <w:rsid w:val="009239F8"/>
    <w:rsid w:val="00923CFD"/>
    <w:rsid w:val="00925988"/>
    <w:rsid w:val="00926263"/>
    <w:rsid w:val="00927D94"/>
    <w:rsid w:val="0093066F"/>
    <w:rsid w:val="009315E8"/>
    <w:rsid w:val="00932378"/>
    <w:rsid w:val="00932F93"/>
    <w:rsid w:val="00932FB1"/>
    <w:rsid w:val="00933118"/>
    <w:rsid w:val="00933ACA"/>
    <w:rsid w:val="0093422A"/>
    <w:rsid w:val="009363FA"/>
    <w:rsid w:val="00942597"/>
    <w:rsid w:val="009475E3"/>
    <w:rsid w:val="00951300"/>
    <w:rsid w:val="00956ADA"/>
    <w:rsid w:val="00957241"/>
    <w:rsid w:val="00957744"/>
    <w:rsid w:val="00960D1A"/>
    <w:rsid w:val="0096138D"/>
    <w:rsid w:val="009614B6"/>
    <w:rsid w:val="009624A3"/>
    <w:rsid w:val="00962BF3"/>
    <w:rsid w:val="0096385D"/>
    <w:rsid w:val="0096602B"/>
    <w:rsid w:val="00973468"/>
    <w:rsid w:val="009737B8"/>
    <w:rsid w:val="00975176"/>
    <w:rsid w:val="00983305"/>
    <w:rsid w:val="00984326"/>
    <w:rsid w:val="009856F8"/>
    <w:rsid w:val="00985EE9"/>
    <w:rsid w:val="009911C3"/>
    <w:rsid w:val="009946FE"/>
    <w:rsid w:val="00994C4B"/>
    <w:rsid w:val="0099687C"/>
    <w:rsid w:val="009A09E2"/>
    <w:rsid w:val="009A4D8B"/>
    <w:rsid w:val="009A5564"/>
    <w:rsid w:val="009A686E"/>
    <w:rsid w:val="009A6FF6"/>
    <w:rsid w:val="009B198A"/>
    <w:rsid w:val="009B1AA9"/>
    <w:rsid w:val="009B2DE9"/>
    <w:rsid w:val="009B42AE"/>
    <w:rsid w:val="009C3533"/>
    <w:rsid w:val="009C4DCD"/>
    <w:rsid w:val="009C6962"/>
    <w:rsid w:val="009C6BB9"/>
    <w:rsid w:val="009D0680"/>
    <w:rsid w:val="009D1BAF"/>
    <w:rsid w:val="009D2312"/>
    <w:rsid w:val="009D268C"/>
    <w:rsid w:val="009D388A"/>
    <w:rsid w:val="009D433A"/>
    <w:rsid w:val="009D4CFA"/>
    <w:rsid w:val="009D6D0E"/>
    <w:rsid w:val="009E1332"/>
    <w:rsid w:val="009E22F8"/>
    <w:rsid w:val="009E2930"/>
    <w:rsid w:val="009E2B40"/>
    <w:rsid w:val="009E33CB"/>
    <w:rsid w:val="009E4F7C"/>
    <w:rsid w:val="009E5D6D"/>
    <w:rsid w:val="009E7BCC"/>
    <w:rsid w:val="009F03F9"/>
    <w:rsid w:val="009F3143"/>
    <w:rsid w:val="009F3BBF"/>
    <w:rsid w:val="009F4E38"/>
    <w:rsid w:val="009F60BE"/>
    <w:rsid w:val="009F6379"/>
    <w:rsid w:val="009F6E58"/>
    <w:rsid w:val="00A0090B"/>
    <w:rsid w:val="00A013B9"/>
    <w:rsid w:val="00A02026"/>
    <w:rsid w:val="00A02247"/>
    <w:rsid w:val="00A05981"/>
    <w:rsid w:val="00A10673"/>
    <w:rsid w:val="00A11FBE"/>
    <w:rsid w:val="00A136EA"/>
    <w:rsid w:val="00A14846"/>
    <w:rsid w:val="00A14CF9"/>
    <w:rsid w:val="00A15F02"/>
    <w:rsid w:val="00A17248"/>
    <w:rsid w:val="00A233B7"/>
    <w:rsid w:val="00A2416C"/>
    <w:rsid w:val="00A2691B"/>
    <w:rsid w:val="00A26A87"/>
    <w:rsid w:val="00A30848"/>
    <w:rsid w:val="00A324AB"/>
    <w:rsid w:val="00A333DC"/>
    <w:rsid w:val="00A333FE"/>
    <w:rsid w:val="00A337E8"/>
    <w:rsid w:val="00A34487"/>
    <w:rsid w:val="00A3600A"/>
    <w:rsid w:val="00A36AE9"/>
    <w:rsid w:val="00A371A8"/>
    <w:rsid w:val="00A37C6B"/>
    <w:rsid w:val="00A41E0D"/>
    <w:rsid w:val="00A42E8D"/>
    <w:rsid w:val="00A44A9A"/>
    <w:rsid w:val="00A44F1D"/>
    <w:rsid w:val="00A47E39"/>
    <w:rsid w:val="00A5012A"/>
    <w:rsid w:val="00A505FD"/>
    <w:rsid w:val="00A508E4"/>
    <w:rsid w:val="00A524FA"/>
    <w:rsid w:val="00A542FB"/>
    <w:rsid w:val="00A54C91"/>
    <w:rsid w:val="00A5589F"/>
    <w:rsid w:val="00A567DE"/>
    <w:rsid w:val="00A61601"/>
    <w:rsid w:val="00A62F44"/>
    <w:rsid w:val="00A63C93"/>
    <w:rsid w:val="00A63F57"/>
    <w:rsid w:val="00A65497"/>
    <w:rsid w:val="00A67368"/>
    <w:rsid w:val="00A675B1"/>
    <w:rsid w:val="00A678F6"/>
    <w:rsid w:val="00A67A73"/>
    <w:rsid w:val="00A73E21"/>
    <w:rsid w:val="00A75EAE"/>
    <w:rsid w:val="00A777E3"/>
    <w:rsid w:val="00A81260"/>
    <w:rsid w:val="00A86124"/>
    <w:rsid w:val="00A86CDA"/>
    <w:rsid w:val="00A90AD4"/>
    <w:rsid w:val="00A9295E"/>
    <w:rsid w:val="00A94A4D"/>
    <w:rsid w:val="00A94F14"/>
    <w:rsid w:val="00A97DAD"/>
    <w:rsid w:val="00AA1D5C"/>
    <w:rsid w:val="00AA2347"/>
    <w:rsid w:val="00AA2A29"/>
    <w:rsid w:val="00AA315D"/>
    <w:rsid w:val="00AA6BAA"/>
    <w:rsid w:val="00AA6DBA"/>
    <w:rsid w:val="00AB05EB"/>
    <w:rsid w:val="00AB0B33"/>
    <w:rsid w:val="00AB1417"/>
    <w:rsid w:val="00AB14FD"/>
    <w:rsid w:val="00AB7C82"/>
    <w:rsid w:val="00AC1575"/>
    <w:rsid w:val="00AC23C7"/>
    <w:rsid w:val="00AC4E2A"/>
    <w:rsid w:val="00AC50CA"/>
    <w:rsid w:val="00AC6C0A"/>
    <w:rsid w:val="00AC7019"/>
    <w:rsid w:val="00AD4822"/>
    <w:rsid w:val="00AD5E9E"/>
    <w:rsid w:val="00AD623B"/>
    <w:rsid w:val="00AD6535"/>
    <w:rsid w:val="00AD7378"/>
    <w:rsid w:val="00AE432F"/>
    <w:rsid w:val="00AE44CB"/>
    <w:rsid w:val="00AE63B0"/>
    <w:rsid w:val="00AF27E8"/>
    <w:rsid w:val="00AF2B12"/>
    <w:rsid w:val="00AF3DFE"/>
    <w:rsid w:val="00AF44A1"/>
    <w:rsid w:val="00AF49CC"/>
    <w:rsid w:val="00AF5816"/>
    <w:rsid w:val="00AF5C69"/>
    <w:rsid w:val="00AF678E"/>
    <w:rsid w:val="00AF6935"/>
    <w:rsid w:val="00B00DC3"/>
    <w:rsid w:val="00B028FB"/>
    <w:rsid w:val="00B044CC"/>
    <w:rsid w:val="00B04A01"/>
    <w:rsid w:val="00B04F28"/>
    <w:rsid w:val="00B055FE"/>
    <w:rsid w:val="00B05643"/>
    <w:rsid w:val="00B059A9"/>
    <w:rsid w:val="00B0679B"/>
    <w:rsid w:val="00B130D7"/>
    <w:rsid w:val="00B1332B"/>
    <w:rsid w:val="00B13CCE"/>
    <w:rsid w:val="00B1499A"/>
    <w:rsid w:val="00B21C4F"/>
    <w:rsid w:val="00B228BB"/>
    <w:rsid w:val="00B23EFD"/>
    <w:rsid w:val="00B240B5"/>
    <w:rsid w:val="00B2543E"/>
    <w:rsid w:val="00B25D6F"/>
    <w:rsid w:val="00B30D6F"/>
    <w:rsid w:val="00B315D2"/>
    <w:rsid w:val="00B32336"/>
    <w:rsid w:val="00B33045"/>
    <w:rsid w:val="00B33986"/>
    <w:rsid w:val="00B378FD"/>
    <w:rsid w:val="00B41FAA"/>
    <w:rsid w:val="00B42808"/>
    <w:rsid w:val="00B429C8"/>
    <w:rsid w:val="00B434CD"/>
    <w:rsid w:val="00B44D06"/>
    <w:rsid w:val="00B46422"/>
    <w:rsid w:val="00B466B0"/>
    <w:rsid w:val="00B46F88"/>
    <w:rsid w:val="00B47200"/>
    <w:rsid w:val="00B5061B"/>
    <w:rsid w:val="00B52ADC"/>
    <w:rsid w:val="00B53342"/>
    <w:rsid w:val="00B55282"/>
    <w:rsid w:val="00B60257"/>
    <w:rsid w:val="00B61172"/>
    <w:rsid w:val="00B6219A"/>
    <w:rsid w:val="00B662CB"/>
    <w:rsid w:val="00B7160C"/>
    <w:rsid w:val="00B71A8E"/>
    <w:rsid w:val="00B723FD"/>
    <w:rsid w:val="00B737A1"/>
    <w:rsid w:val="00B74FA5"/>
    <w:rsid w:val="00B75567"/>
    <w:rsid w:val="00B76DD9"/>
    <w:rsid w:val="00B8063D"/>
    <w:rsid w:val="00B80F80"/>
    <w:rsid w:val="00B83492"/>
    <w:rsid w:val="00B8436E"/>
    <w:rsid w:val="00B86177"/>
    <w:rsid w:val="00B9098C"/>
    <w:rsid w:val="00B91639"/>
    <w:rsid w:val="00B922B0"/>
    <w:rsid w:val="00B9338E"/>
    <w:rsid w:val="00B93664"/>
    <w:rsid w:val="00B964C1"/>
    <w:rsid w:val="00B9658C"/>
    <w:rsid w:val="00B9677A"/>
    <w:rsid w:val="00B97722"/>
    <w:rsid w:val="00BA0932"/>
    <w:rsid w:val="00BA1552"/>
    <w:rsid w:val="00BA2906"/>
    <w:rsid w:val="00BA3536"/>
    <w:rsid w:val="00BA5C4E"/>
    <w:rsid w:val="00BA64B7"/>
    <w:rsid w:val="00BA650A"/>
    <w:rsid w:val="00BA6866"/>
    <w:rsid w:val="00BB1954"/>
    <w:rsid w:val="00BB2214"/>
    <w:rsid w:val="00BC03A5"/>
    <w:rsid w:val="00BC314D"/>
    <w:rsid w:val="00BC337A"/>
    <w:rsid w:val="00BC3BE4"/>
    <w:rsid w:val="00BC5087"/>
    <w:rsid w:val="00BC72E7"/>
    <w:rsid w:val="00BD2003"/>
    <w:rsid w:val="00BD20C8"/>
    <w:rsid w:val="00BE05FE"/>
    <w:rsid w:val="00BE0D15"/>
    <w:rsid w:val="00BE5A73"/>
    <w:rsid w:val="00BE778C"/>
    <w:rsid w:val="00BF009C"/>
    <w:rsid w:val="00BF25F8"/>
    <w:rsid w:val="00BF3B05"/>
    <w:rsid w:val="00BF3F96"/>
    <w:rsid w:val="00BF5809"/>
    <w:rsid w:val="00BF5D2B"/>
    <w:rsid w:val="00BF6149"/>
    <w:rsid w:val="00BF7EF2"/>
    <w:rsid w:val="00C01525"/>
    <w:rsid w:val="00C03B93"/>
    <w:rsid w:val="00C078D2"/>
    <w:rsid w:val="00C1114B"/>
    <w:rsid w:val="00C12105"/>
    <w:rsid w:val="00C15E4E"/>
    <w:rsid w:val="00C17450"/>
    <w:rsid w:val="00C2452D"/>
    <w:rsid w:val="00C24801"/>
    <w:rsid w:val="00C248DC"/>
    <w:rsid w:val="00C273F3"/>
    <w:rsid w:val="00C336CB"/>
    <w:rsid w:val="00C37BD5"/>
    <w:rsid w:val="00C41358"/>
    <w:rsid w:val="00C41401"/>
    <w:rsid w:val="00C4166D"/>
    <w:rsid w:val="00C4251D"/>
    <w:rsid w:val="00C425CC"/>
    <w:rsid w:val="00C42CAC"/>
    <w:rsid w:val="00C43E89"/>
    <w:rsid w:val="00C45AB8"/>
    <w:rsid w:val="00C50484"/>
    <w:rsid w:val="00C51D2F"/>
    <w:rsid w:val="00C5226E"/>
    <w:rsid w:val="00C523A5"/>
    <w:rsid w:val="00C53957"/>
    <w:rsid w:val="00C56A72"/>
    <w:rsid w:val="00C62B85"/>
    <w:rsid w:val="00C641F0"/>
    <w:rsid w:val="00C6461D"/>
    <w:rsid w:val="00C66099"/>
    <w:rsid w:val="00C6695A"/>
    <w:rsid w:val="00C706DC"/>
    <w:rsid w:val="00C712A8"/>
    <w:rsid w:val="00C719EA"/>
    <w:rsid w:val="00C723AA"/>
    <w:rsid w:val="00C7469F"/>
    <w:rsid w:val="00C77085"/>
    <w:rsid w:val="00C77699"/>
    <w:rsid w:val="00C814BD"/>
    <w:rsid w:val="00C8755D"/>
    <w:rsid w:val="00C87F28"/>
    <w:rsid w:val="00C908C4"/>
    <w:rsid w:val="00C93A95"/>
    <w:rsid w:val="00CA02B5"/>
    <w:rsid w:val="00CA073E"/>
    <w:rsid w:val="00CA08AD"/>
    <w:rsid w:val="00CA3430"/>
    <w:rsid w:val="00CA6F06"/>
    <w:rsid w:val="00CB105D"/>
    <w:rsid w:val="00CB1BBF"/>
    <w:rsid w:val="00CB2D0A"/>
    <w:rsid w:val="00CB42B1"/>
    <w:rsid w:val="00CB6984"/>
    <w:rsid w:val="00CC1A92"/>
    <w:rsid w:val="00CC1DB9"/>
    <w:rsid w:val="00CC298B"/>
    <w:rsid w:val="00CC3230"/>
    <w:rsid w:val="00CC5110"/>
    <w:rsid w:val="00CC7869"/>
    <w:rsid w:val="00CC7EA9"/>
    <w:rsid w:val="00CD2636"/>
    <w:rsid w:val="00CD29B0"/>
    <w:rsid w:val="00CD2B0D"/>
    <w:rsid w:val="00CD2B86"/>
    <w:rsid w:val="00CD2D10"/>
    <w:rsid w:val="00CD3009"/>
    <w:rsid w:val="00CD7632"/>
    <w:rsid w:val="00CD7E91"/>
    <w:rsid w:val="00CE327F"/>
    <w:rsid w:val="00CE3723"/>
    <w:rsid w:val="00CE3C9A"/>
    <w:rsid w:val="00CE3DE8"/>
    <w:rsid w:val="00CE3FD8"/>
    <w:rsid w:val="00CE685B"/>
    <w:rsid w:val="00CE6D62"/>
    <w:rsid w:val="00CE72F7"/>
    <w:rsid w:val="00CE76F0"/>
    <w:rsid w:val="00CF1C35"/>
    <w:rsid w:val="00CF4E49"/>
    <w:rsid w:val="00CF4E92"/>
    <w:rsid w:val="00CF584E"/>
    <w:rsid w:val="00CF6B87"/>
    <w:rsid w:val="00CF6D33"/>
    <w:rsid w:val="00D02248"/>
    <w:rsid w:val="00D06673"/>
    <w:rsid w:val="00D06DC8"/>
    <w:rsid w:val="00D1023B"/>
    <w:rsid w:val="00D137EA"/>
    <w:rsid w:val="00D14038"/>
    <w:rsid w:val="00D15642"/>
    <w:rsid w:val="00D15A1E"/>
    <w:rsid w:val="00D16862"/>
    <w:rsid w:val="00D20502"/>
    <w:rsid w:val="00D20C24"/>
    <w:rsid w:val="00D22A62"/>
    <w:rsid w:val="00D22DF2"/>
    <w:rsid w:val="00D23E4F"/>
    <w:rsid w:val="00D2752F"/>
    <w:rsid w:val="00D27F1F"/>
    <w:rsid w:val="00D304EA"/>
    <w:rsid w:val="00D32FAD"/>
    <w:rsid w:val="00D34D92"/>
    <w:rsid w:val="00D35360"/>
    <w:rsid w:val="00D35434"/>
    <w:rsid w:val="00D3752D"/>
    <w:rsid w:val="00D37D8E"/>
    <w:rsid w:val="00D4280A"/>
    <w:rsid w:val="00D43CE3"/>
    <w:rsid w:val="00D44CB0"/>
    <w:rsid w:val="00D45D85"/>
    <w:rsid w:val="00D50881"/>
    <w:rsid w:val="00D50EE4"/>
    <w:rsid w:val="00D510BB"/>
    <w:rsid w:val="00D51F6D"/>
    <w:rsid w:val="00D53945"/>
    <w:rsid w:val="00D55F43"/>
    <w:rsid w:val="00D561C4"/>
    <w:rsid w:val="00D56692"/>
    <w:rsid w:val="00D57343"/>
    <w:rsid w:val="00D57652"/>
    <w:rsid w:val="00D61B5B"/>
    <w:rsid w:val="00D63C3E"/>
    <w:rsid w:val="00D63CB0"/>
    <w:rsid w:val="00D64AE3"/>
    <w:rsid w:val="00D741B4"/>
    <w:rsid w:val="00D76801"/>
    <w:rsid w:val="00D76B8B"/>
    <w:rsid w:val="00D76FF7"/>
    <w:rsid w:val="00D800AC"/>
    <w:rsid w:val="00D82541"/>
    <w:rsid w:val="00D82CEF"/>
    <w:rsid w:val="00D84933"/>
    <w:rsid w:val="00D85FBA"/>
    <w:rsid w:val="00D864FB"/>
    <w:rsid w:val="00D9036F"/>
    <w:rsid w:val="00D91500"/>
    <w:rsid w:val="00D94127"/>
    <w:rsid w:val="00D95DDD"/>
    <w:rsid w:val="00D95F7B"/>
    <w:rsid w:val="00D97AF5"/>
    <w:rsid w:val="00DA1598"/>
    <w:rsid w:val="00DA18EF"/>
    <w:rsid w:val="00DA1E32"/>
    <w:rsid w:val="00DA3B71"/>
    <w:rsid w:val="00DA3D3E"/>
    <w:rsid w:val="00DA7C8D"/>
    <w:rsid w:val="00DB1A54"/>
    <w:rsid w:val="00DB2DC2"/>
    <w:rsid w:val="00DB3FCE"/>
    <w:rsid w:val="00DB4194"/>
    <w:rsid w:val="00DB498A"/>
    <w:rsid w:val="00DC2782"/>
    <w:rsid w:val="00DC437E"/>
    <w:rsid w:val="00DC5CEB"/>
    <w:rsid w:val="00DC6083"/>
    <w:rsid w:val="00DC61DC"/>
    <w:rsid w:val="00DD07A3"/>
    <w:rsid w:val="00DD1B6D"/>
    <w:rsid w:val="00DD3F7E"/>
    <w:rsid w:val="00DD620D"/>
    <w:rsid w:val="00DD6394"/>
    <w:rsid w:val="00DE486E"/>
    <w:rsid w:val="00DE4ED5"/>
    <w:rsid w:val="00DE4FE6"/>
    <w:rsid w:val="00DE5421"/>
    <w:rsid w:val="00DE656C"/>
    <w:rsid w:val="00DE7112"/>
    <w:rsid w:val="00DE73AF"/>
    <w:rsid w:val="00DE7CBA"/>
    <w:rsid w:val="00DF0377"/>
    <w:rsid w:val="00DF0E23"/>
    <w:rsid w:val="00DF6C7B"/>
    <w:rsid w:val="00DF717E"/>
    <w:rsid w:val="00DF7D05"/>
    <w:rsid w:val="00E029D9"/>
    <w:rsid w:val="00E03C9B"/>
    <w:rsid w:val="00E04685"/>
    <w:rsid w:val="00E04A18"/>
    <w:rsid w:val="00E068F8"/>
    <w:rsid w:val="00E06E8D"/>
    <w:rsid w:val="00E10133"/>
    <w:rsid w:val="00E114E6"/>
    <w:rsid w:val="00E11DA7"/>
    <w:rsid w:val="00E13E0C"/>
    <w:rsid w:val="00E13FB8"/>
    <w:rsid w:val="00E14A23"/>
    <w:rsid w:val="00E229B0"/>
    <w:rsid w:val="00E26845"/>
    <w:rsid w:val="00E30FC8"/>
    <w:rsid w:val="00E31B85"/>
    <w:rsid w:val="00E34B95"/>
    <w:rsid w:val="00E35735"/>
    <w:rsid w:val="00E36007"/>
    <w:rsid w:val="00E40529"/>
    <w:rsid w:val="00E433C1"/>
    <w:rsid w:val="00E434F8"/>
    <w:rsid w:val="00E4368F"/>
    <w:rsid w:val="00E44158"/>
    <w:rsid w:val="00E47686"/>
    <w:rsid w:val="00E5055D"/>
    <w:rsid w:val="00E510EC"/>
    <w:rsid w:val="00E524D4"/>
    <w:rsid w:val="00E53838"/>
    <w:rsid w:val="00E5517B"/>
    <w:rsid w:val="00E56199"/>
    <w:rsid w:val="00E57B02"/>
    <w:rsid w:val="00E62915"/>
    <w:rsid w:val="00E62EF2"/>
    <w:rsid w:val="00E63669"/>
    <w:rsid w:val="00E66869"/>
    <w:rsid w:val="00E70717"/>
    <w:rsid w:val="00E72382"/>
    <w:rsid w:val="00E74686"/>
    <w:rsid w:val="00E75517"/>
    <w:rsid w:val="00E762D1"/>
    <w:rsid w:val="00E76CF3"/>
    <w:rsid w:val="00E81DE0"/>
    <w:rsid w:val="00E822F3"/>
    <w:rsid w:val="00E85391"/>
    <w:rsid w:val="00E878DF"/>
    <w:rsid w:val="00E87CAA"/>
    <w:rsid w:val="00E9076B"/>
    <w:rsid w:val="00E918C6"/>
    <w:rsid w:val="00E92E7C"/>
    <w:rsid w:val="00E9395F"/>
    <w:rsid w:val="00E956F8"/>
    <w:rsid w:val="00E96827"/>
    <w:rsid w:val="00EA00BD"/>
    <w:rsid w:val="00EA3F6C"/>
    <w:rsid w:val="00EA44EF"/>
    <w:rsid w:val="00EA6862"/>
    <w:rsid w:val="00EA6976"/>
    <w:rsid w:val="00EA7615"/>
    <w:rsid w:val="00EB0DAF"/>
    <w:rsid w:val="00EB640C"/>
    <w:rsid w:val="00EB6603"/>
    <w:rsid w:val="00EB7026"/>
    <w:rsid w:val="00EB7328"/>
    <w:rsid w:val="00EC1085"/>
    <w:rsid w:val="00EC2106"/>
    <w:rsid w:val="00EC5342"/>
    <w:rsid w:val="00EC6B17"/>
    <w:rsid w:val="00EC7D08"/>
    <w:rsid w:val="00ED42DF"/>
    <w:rsid w:val="00ED4C4C"/>
    <w:rsid w:val="00ED6FF2"/>
    <w:rsid w:val="00EE25A8"/>
    <w:rsid w:val="00EE3099"/>
    <w:rsid w:val="00EE4105"/>
    <w:rsid w:val="00EE49DD"/>
    <w:rsid w:val="00EE7624"/>
    <w:rsid w:val="00EF13DA"/>
    <w:rsid w:val="00EF25E2"/>
    <w:rsid w:val="00EF3F38"/>
    <w:rsid w:val="00EF725C"/>
    <w:rsid w:val="00F01774"/>
    <w:rsid w:val="00F0526D"/>
    <w:rsid w:val="00F05670"/>
    <w:rsid w:val="00F05FFC"/>
    <w:rsid w:val="00F072C8"/>
    <w:rsid w:val="00F11576"/>
    <w:rsid w:val="00F124BB"/>
    <w:rsid w:val="00F151E1"/>
    <w:rsid w:val="00F15714"/>
    <w:rsid w:val="00F17A4F"/>
    <w:rsid w:val="00F20A30"/>
    <w:rsid w:val="00F21CFE"/>
    <w:rsid w:val="00F25C66"/>
    <w:rsid w:val="00F25CC0"/>
    <w:rsid w:val="00F2659B"/>
    <w:rsid w:val="00F270BE"/>
    <w:rsid w:val="00F31434"/>
    <w:rsid w:val="00F3144C"/>
    <w:rsid w:val="00F316ED"/>
    <w:rsid w:val="00F32CFE"/>
    <w:rsid w:val="00F36782"/>
    <w:rsid w:val="00F37179"/>
    <w:rsid w:val="00F3791E"/>
    <w:rsid w:val="00F4070D"/>
    <w:rsid w:val="00F42B90"/>
    <w:rsid w:val="00F42C12"/>
    <w:rsid w:val="00F446DF"/>
    <w:rsid w:val="00F44CD0"/>
    <w:rsid w:val="00F472C1"/>
    <w:rsid w:val="00F50C53"/>
    <w:rsid w:val="00F50DE7"/>
    <w:rsid w:val="00F518D1"/>
    <w:rsid w:val="00F54053"/>
    <w:rsid w:val="00F543DB"/>
    <w:rsid w:val="00F5643F"/>
    <w:rsid w:val="00F579E4"/>
    <w:rsid w:val="00F61A0B"/>
    <w:rsid w:val="00F643A1"/>
    <w:rsid w:val="00F65254"/>
    <w:rsid w:val="00F66AF3"/>
    <w:rsid w:val="00F6753E"/>
    <w:rsid w:val="00F72CF1"/>
    <w:rsid w:val="00F73E71"/>
    <w:rsid w:val="00F75F22"/>
    <w:rsid w:val="00F76066"/>
    <w:rsid w:val="00F817FB"/>
    <w:rsid w:val="00F8281E"/>
    <w:rsid w:val="00F82A61"/>
    <w:rsid w:val="00F82EBD"/>
    <w:rsid w:val="00F845E2"/>
    <w:rsid w:val="00F85A63"/>
    <w:rsid w:val="00F92B13"/>
    <w:rsid w:val="00F93A93"/>
    <w:rsid w:val="00F9659C"/>
    <w:rsid w:val="00F96D23"/>
    <w:rsid w:val="00F978D7"/>
    <w:rsid w:val="00F97B58"/>
    <w:rsid w:val="00FA143C"/>
    <w:rsid w:val="00FA1A97"/>
    <w:rsid w:val="00FA49FC"/>
    <w:rsid w:val="00FB0ACA"/>
    <w:rsid w:val="00FB2649"/>
    <w:rsid w:val="00FB3E42"/>
    <w:rsid w:val="00FB59B3"/>
    <w:rsid w:val="00FB664E"/>
    <w:rsid w:val="00FB79F4"/>
    <w:rsid w:val="00FC0DC9"/>
    <w:rsid w:val="00FC18C4"/>
    <w:rsid w:val="00FC2EC0"/>
    <w:rsid w:val="00FC3B00"/>
    <w:rsid w:val="00FC4310"/>
    <w:rsid w:val="00FC46BF"/>
    <w:rsid w:val="00FD0011"/>
    <w:rsid w:val="00FD02E5"/>
    <w:rsid w:val="00FD1C79"/>
    <w:rsid w:val="00FD644A"/>
    <w:rsid w:val="00FD660A"/>
    <w:rsid w:val="00FE0EF1"/>
    <w:rsid w:val="00FE13CD"/>
    <w:rsid w:val="00FE1EFF"/>
    <w:rsid w:val="00FE1F79"/>
    <w:rsid w:val="00FE4A0B"/>
    <w:rsid w:val="00FE53E3"/>
    <w:rsid w:val="00FE598A"/>
    <w:rsid w:val="00FE6775"/>
    <w:rsid w:val="00FE7A76"/>
    <w:rsid w:val="00FF1E9C"/>
    <w:rsid w:val="00FF4321"/>
    <w:rsid w:val="00FF6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345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bstract"/>
    <w:next w:val="Paragraph"/>
    <w:qFormat/>
    <w:rsid w:val="0019196D"/>
    <w:pPr>
      <w:jc w:val="both"/>
    </w:pPr>
    <w:rPr>
      <w:rFonts w:ascii="Garamond" w:hAnsi="Garamond"/>
      <w:sz w:val="22"/>
      <w:szCs w:val="22"/>
      <w:lang w:val="id-ID"/>
    </w:rPr>
  </w:style>
  <w:style w:type="paragraph" w:styleId="Heading1">
    <w:name w:val="heading 1"/>
    <w:aliases w:val="Sub Title"/>
    <w:basedOn w:val="Normal"/>
    <w:next w:val="Normal"/>
    <w:link w:val="Heading1Char"/>
    <w:uiPriority w:val="9"/>
    <w:qFormat/>
    <w:rsid w:val="002843EA"/>
    <w:pPr>
      <w:keepNext/>
      <w:numPr>
        <w:numId w:val="1"/>
      </w:numPr>
      <w:spacing w:before="240" w:after="60"/>
      <w:ind w:left="357" w:hanging="357"/>
      <w:jc w:val="center"/>
      <w:outlineLvl w:val="0"/>
    </w:pPr>
    <w:rPr>
      <w:rFonts w:eastAsia="Times New Roman"/>
      <w:b/>
      <w:bCs/>
      <w:kern w:val="32"/>
      <w:szCs w:val="32"/>
    </w:rPr>
  </w:style>
  <w:style w:type="paragraph" w:styleId="Heading2">
    <w:name w:val="heading 2"/>
    <w:basedOn w:val="Normal"/>
    <w:next w:val="Normal"/>
    <w:link w:val="Heading2Char"/>
    <w:uiPriority w:val="9"/>
    <w:unhideWhenUsed/>
    <w:qFormat/>
    <w:rsid w:val="00AB0B33"/>
    <w:pPr>
      <w:keepNext/>
      <w:spacing w:before="120" w:after="60"/>
      <w:outlineLvl w:val="1"/>
    </w:pPr>
    <w:rPr>
      <w:rFonts w:eastAsia="Times New Roman"/>
      <w:b/>
      <w:bCs/>
      <w:iCs/>
      <w:szCs w:val="28"/>
    </w:rPr>
  </w:style>
  <w:style w:type="paragraph" w:styleId="Heading3">
    <w:name w:val="heading 3"/>
    <w:basedOn w:val="Normal"/>
    <w:next w:val="Normal"/>
    <w:link w:val="Heading3Char"/>
    <w:uiPriority w:val="9"/>
    <w:unhideWhenUsed/>
    <w:qFormat/>
    <w:rsid w:val="0056395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6263"/>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853FC"/>
    <w:pPr>
      <w:keepNext/>
      <w:keepLines/>
      <w:spacing w:before="200" w:line="276" w:lineRule="auto"/>
      <w:ind w:left="1008" w:hanging="1008"/>
      <w:jc w:val="left"/>
      <w:outlineLvl w:val="4"/>
    </w:pPr>
    <w:rPr>
      <w:rFonts w:ascii="Cambria" w:eastAsia="Times New Roman" w:hAnsi="Cambria"/>
      <w:color w:val="243F60"/>
      <w:lang w:eastAsia="id-ID"/>
    </w:rPr>
  </w:style>
  <w:style w:type="paragraph" w:styleId="Heading6">
    <w:name w:val="heading 6"/>
    <w:basedOn w:val="Normal"/>
    <w:next w:val="Normal"/>
    <w:link w:val="Heading6Char"/>
    <w:uiPriority w:val="9"/>
    <w:semiHidden/>
    <w:unhideWhenUsed/>
    <w:qFormat/>
    <w:rsid w:val="00AF27E8"/>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853FC"/>
    <w:pPr>
      <w:keepNext/>
      <w:keepLines/>
      <w:spacing w:before="200" w:line="276" w:lineRule="auto"/>
      <w:ind w:left="1296" w:hanging="1296"/>
      <w:jc w:val="left"/>
      <w:outlineLvl w:val="6"/>
    </w:pPr>
    <w:rPr>
      <w:rFonts w:ascii="Cambria" w:eastAsia="Times New Roman" w:hAnsi="Cambria"/>
      <w:i/>
      <w:iCs/>
      <w:color w:val="404040"/>
      <w:lang w:eastAsia="id-ID"/>
    </w:rPr>
  </w:style>
  <w:style w:type="paragraph" w:styleId="Heading8">
    <w:name w:val="heading 8"/>
    <w:basedOn w:val="Normal"/>
    <w:next w:val="Normal"/>
    <w:link w:val="Heading8Char"/>
    <w:uiPriority w:val="9"/>
    <w:semiHidden/>
    <w:unhideWhenUsed/>
    <w:qFormat/>
    <w:rsid w:val="006853FC"/>
    <w:pPr>
      <w:keepNext/>
      <w:keepLines/>
      <w:spacing w:before="200" w:line="276" w:lineRule="auto"/>
      <w:ind w:left="1440" w:hanging="1440"/>
      <w:jc w:val="left"/>
      <w:outlineLvl w:val="7"/>
    </w:pPr>
    <w:rPr>
      <w:rFonts w:ascii="Cambria" w:eastAsia="Times New Roman" w:hAnsi="Cambria"/>
      <w:color w:val="404040"/>
      <w:sz w:val="20"/>
      <w:szCs w:val="20"/>
      <w:lang w:eastAsia="id-ID"/>
    </w:rPr>
  </w:style>
  <w:style w:type="paragraph" w:styleId="Heading9">
    <w:name w:val="heading 9"/>
    <w:basedOn w:val="Normal"/>
    <w:next w:val="Normal"/>
    <w:link w:val="Heading9Char"/>
    <w:uiPriority w:val="9"/>
    <w:semiHidden/>
    <w:unhideWhenUsed/>
    <w:qFormat/>
    <w:rsid w:val="006853FC"/>
    <w:pPr>
      <w:keepNext/>
      <w:keepLines/>
      <w:spacing w:before="200" w:line="276" w:lineRule="auto"/>
      <w:ind w:left="1584" w:hanging="1584"/>
      <w:jc w:val="left"/>
      <w:outlineLvl w:val="8"/>
    </w:pPr>
    <w:rPr>
      <w:rFonts w:ascii="Cambria" w:eastAsia="Times New Roman" w:hAnsi="Cambria"/>
      <w:i/>
      <w:iCs/>
      <w:color w:val="404040"/>
      <w:sz w:val="20"/>
      <w:szCs w:val="20"/>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62B85"/>
    <w:rPr>
      <w:color w:val="0000FF"/>
      <w:u w:val="single"/>
    </w:rPr>
  </w:style>
  <w:style w:type="paragraph" w:styleId="ListParagraph">
    <w:name w:val="List Paragraph"/>
    <w:basedOn w:val="Normal"/>
    <w:link w:val="ListParagraphChar"/>
    <w:uiPriority w:val="34"/>
    <w:qFormat/>
    <w:rsid w:val="00B055FE"/>
    <w:pPr>
      <w:ind w:left="720"/>
      <w:contextualSpacing/>
    </w:pPr>
  </w:style>
  <w:style w:type="table" w:styleId="TableGrid">
    <w:name w:val="Table Grid"/>
    <w:basedOn w:val="TableNormal"/>
    <w:uiPriority w:val="39"/>
    <w:rsid w:val="0049407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407C"/>
    <w:rPr>
      <w:rFonts w:ascii="Tahoma" w:hAnsi="Tahoma" w:cs="Tahoma"/>
      <w:sz w:val="16"/>
      <w:szCs w:val="16"/>
    </w:rPr>
  </w:style>
  <w:style w:type="character" w:customStyle="1" w:styleId="BalloonTextChar">
    <w:name w:val="Balloon Text Char"/>
    <w:link w:val="BalloonText"/>
    <w:uiPriority w:val="99"/>
    <w:semiHidden/>
    <w:rsid w:val="0049407C"/>
    <w:rPr>
      <w:rFonts w:ascii="Tahoma" w:hAnsi="Tahoma" w:cs="Tahoma"/>
      <w:sz w:val="16"/>
      <w:szCs w:val="16"/>
    </w:rPr>
  </w:style>
  <w:style w:type="paragraph" w:customStyle="1" w:styleId="Paragraph">
    <w:name w:val="Paragraph"/>
    <w:basedOn w:val="Normal"/>
    <w:rsid w:val="00E74686"/>
    <w:pPr>
      <w:ind w:firstLine="720"/>
    </w:pPr>
    <w:rPr>
      <w:rFonts w:eastAsia="MS Mincho"/>
      <w:szCs w:val="20"/>
      <w:lang w:val="en-US"/>
    </w:rPr>
  </w:style>
  <w:style w:type="paragraph" w:styleId="Header">
    <w:name w:val="header"/>
    <w:basedOn w:val="Normal"/>
    <w:link w:val="HeaderChar"/>
    <w:uiPriority w:val="99"/>
    <w:unhideWhenUsed/>
    <w:rsid w:val="0032469A"/>
    <w:pPr>
      <w:tabs>
        <w:tab w:val="center" w:pos="4513"/>
        <w:tab w:val="right" w:pos="9026"/>
      </w:tabs>
    </w:pPr>
  </w:style>
  <w:style w:type="character" w:customStyle="1" w:styleId="HeaderChar">
    <w:name w:val="Header Char"/>
    <w:link w:val="Header"/>
    <w:uiPriority w:val="99"/>
    <w:rsid w:val="0032469A"/>
    <w:rPr>
      <w:rFonts w:ascii="Times New Roman" w:hAnsi="Times New Roman"/>
      <w:sz w:val="24"/>
    </w:rPr>
  </w:style>
  <w:style w:type="paragraph" w:styleId="Footer">
    <w:name w:val="footer"/>
    <w:basedOn w:val="Normal"/>
    <w:link w:val="FooterChar"/>
    <w:uiPriority w:val="99"/>
    <w:unhideWhenUsed/>
    <w:rsid w:val="0032469A"/>
    <w:pPr>
      <w:tabs>
        <w:tab w:val="center" w:pos="4513"/>
        <w:tab w:val="right" w:pos="9026"/>
      </w:tabs>
    </w:pPr>
  </w:style>
  <w:style w:type="character" w:customStyle="1" w:styleId="FooterChar">
    <w:name w:val="Footer Char"/>
    <w:link w:val="Footer"/>
    <w:uiPriority w:val="99"/>
    <w:rsid w:val="0032469A"/>
    <w:rPr>
      <w:rFonts w:ascii="Times New Roman" w:hAnsi="Times New Roman"/>
      <w:sz w:val="24"/>
    </w:rPr>
  </w:style>
  <w:style w:type="paragraph" w:styleId="Title">
    <w:name w:val="Title"/>
    <w:basedOn w:val="Normal"/>
    <w:next w:val="Normal"/>
    <w:link w:val="TitleChar"/>
    <w:uiPriority w:val="10"/>
    <w:qFormat/>
    <w:rsid w:val="00F978D7"/>
    <w:pPr>
      <w:spacing w:before="480" w:after="120"/>
      <w:jc w:val="center"/>
      <w:outlineLvl w:val="0"/>
    </w:pPr>
    <w:rPr>
      <w:rFonts w:eastAsia="Times New Roman"/>
      <w:b/>
      <w:bCs/>
      <w:kern w:val="28"/>
      <w:sz w:val="36"/>
      <w:szCs w:val="32"/>
    </w:rPr>
  </w:style>
  <w:style w:type="character" w:customStyle="1" w:styleId="TitleChar">
    <w:name w:val="Title Char"/>
    <w:link w:val="Title"/>
    <w:uiPriority w:val="10"/>
    <w:rsid w:val="00F978D7"/>
    <w:rPr>
      <w:rFonts w:ascii="Garamond" w:eastAsia="Times New Roman" w:hAnsi="Garamond"/>
      <w:b/>
      <w:bCs/>
      <w:kern w:val="28"/>
      <w:sz w:val="36"/>
      <w:szCs w:val="32"/>
      <w:lang w:val="id-ID"/>
    </w:rPr>
  </w:style>
  <w:style w:type="paragraph" w:styleId="Subtitle0">
    <w:name w:val="Subtitle"/>
    <w:aliases w:val="Author"/>
    <w:basedOn w:val="Normal"/>
    <w:next w:val="Normal"/>
    <w:link w:val="SubtitleChar"/>
    <w:uiPriority w:val="11"/>
    <w:qFormat/>
    <w:rsid w:val="0042488A"/>
    <w:pPr>
      <w:spacing w:before="360" w:after="120"/>
      <w:jc w:val="center"/>
      <w:outlineLvl w:val="1"/>
    </w:pPr>
    <w:rPr>
      <w:rFonts w:eastAsia="Times New Roman"/>
      <w:b/>
      <w:szCs w:val="24"/>
    </w:rPr>
  </w:style>
  <w:style w:type="character" w:customStyle="1" w:styleId="SubtitleChar">
    <w:name w:val="Subtitle Char"/>
    <w:aliases w:val="Author Char"/>
    <w:link w:val="Subtitle0"/>
    <w:uiPriority w:val="11"/>
    <w:rsid w:val="0042488A"/>
    <w:rPr>
      <w:rFonts w:ascii="Garamond" w:eastAsia="Times New Roman" w:hAnsi="Garamond"/>
      <w:b/>
      <w:sz w:val="22"/>
      <w:szCs w:val="24"/>
      <w:lang w:eastAsia="en-US"/>
    </w:rPr>
  </w:style>
  <w:style w:type="character" w:styleId="SubtleReference">
    <w:name w:val="Subtle Reference"/>
    <w:uiPriority w:val="31"/>
    <w:qFormat/>
    <w:rsid w:val="00305F1D"/>
    <w:rPr>
      <w:smallCaps/>
      <w:color w:val="C0504D"/>
      <w:u w:val="single"/>
    </w:rPr>
  </w:style>
  <w:style w:type="character" w:styleId="IntenseReference">
    <w:name w:val="Intense Reference"/>
    <w:uiPriority w:val="32"/>
    <w:qFormat/>
    <w:rsid w:val="00305F1D"/>
    <w:rPr>
      <w:rFonts w:ascii="Garamond" w:hAnsi="Garamond"/>
      <w:b/>
      <w:bCs/>
      <w:smallCaps/>
      <w:color w:val="C0504D"/>
      <w:spacing w:val="5"/>
      <w:sz w:val="20"/>
      <w:u w:val="single"/>
    </w:rPr>
  </w:style>
  <w:style w:type="character" w:customStyle="1" w:styleId="Heading1Char">
    <w:name w:val="Heading 1 Char"/>
    <w:aliases w:val="Sub Title Char"/>
    <w:link w:val="Heading1"/>
    <w:uiPriority w:val="9"/>
    <w:rsid w:val="002843EA"/>
    <w:rPr>
      <w:rFonts w:ascii="Garamond" w:eastAsia="Times New Roman" w:hAnsi="Garamond"/>
      <w:b/>
      <w:bCs/>
      <w:kern w:val="32"/>
      <w:sz w:val="22"/>
      <w:szCs w:val="32"/>
      <w:lang w:val="id-ID"/>
    </w:rPr>
  </w:style>
  <w:style w:type="character" w:customStyle="1" w:styleId="Heading2Char">
    <w:name w:val="Heading 2 Char"/>
    <w:link w:val="Heading2"/>
    <w:uiPriority w:val="9"/>
    <w:rsid w:val="00AB0B33"/>
    <w:rPr>
      <w:rFonts w:ascii="Garamond" w:eastAsia="Times New Roman" w:hAnsi="Garamond"/>
      <w:b/>
      <w:bCs/>
      <w:iCs/>
      <w:sz w:val="22"/>
      <w:szCs w:val="28"/>
      <w:lang w:val="id-ID"/>
    </w:rPr>
  </w:style>
  <w:style w:type="paragraph" w:customStyle="1" w:styleId="Reference">
    <w:name w:val="Reference"/>
    <w:basedOn w:val="Paragraph"/>
    <w:qFormat/>
    <w:rsid w:val="00DD1B6D"/>
    <w:pPr>
      <w:ind w:left="567" w:hanging="567"/>
    </w:pPr>
  </w:style>
  <w:style w:type="character" w:customStyle="1" w:styleId="fontstyle01">
    <w:name w:val="fontstyle01"/>
    <w:rsid w:val="00927D94"/>
    <w:rPr>
      <w:rFonts w:ascii="AdobeNaskh-Medium-Identity-H" w:hAnsi="AdobeNaskh-Medium-Identity-H" w:hint="default"/>
      <w:b w:val="0"/>
      <w:bCs w:val="0"/>
      <w:i w:val="0"/>
      <w:iCs w:val="0"/>
      <w:color w:val="231F20"/>
      <w:sz w:val="46"/>
      <w:szCs w:val="46"/>
    </w:rPr>
  </w:style>
  <w:style w:type="paragraph" w:customStyle="1" w:styleId="AuthorAffiliation">
    <w:name w:val="Author Affiliation"/>
    <w:basedOn w:val="Normal"/>
    <w:qFormat/>
    <w:rsid w:val="0042488A"/>
    <w:pPr>
      <w:jc w:val="center"/>
    </w:pPr>
    <w:rPr>
      <w:rFonts w:ascii="Arial Narrow" w:hAnsi="Arial Narrow"/>
      <w:sz w:val="18"/>
      <w:lang w:val="en-US"/>
    </w:rPr>
  </w:style>
  <w:style w:type="paragraph" w:customStyle="1" w:styleId="AuthorEmail">
    <w:name w:val="Author Email"/>
    <w:basedOn w:val="AuthorAffiliation"/>
    <w:qFormat/>
    <w:rsid w:val="0042488A"/>
  </w:style>
  <w:style w:type="paragraph" w:customStyle="1" w:styleId="SubtitleAbstract">
    <w:name w:val="Subtitle Abstract"/>
    <w:basedOn w:val="Normal"/>
    <w:qFormat/>
    <w:rsid w:val="0019196D"/>
    <w:rPr>
      <w:b/>
    </w:rPr>
  </w:style>
  <w:style w:type="paragraph" w:styleId="Caption">
    <w:name w:val="caption"/>
    <w:basedOn w:val="Normal"/>
    <w:next w:val="Normal"/>
    <w:unhideWhenUsed/>
    <w:qFormat/>
    <w:rsid w:val="00D06673"/>
    <w:pPr>
      <w:spacing w:before="120" w:after="120"/>
      <w:jc w:val="center"/>
    </w:pPr>
    <w:rPr>
      <w:bCs/>
      <w:sz w:val="20"/>
      <w:szCs w:val="20"/>
    </w:rPr>
  </w:style>
  <w:style w:type="paragraph" w:customStyle="1" w:styleId="Keywords">
    <w:name w:val="Keywords"/>
    <w:basedOn w:val="Normal"/>
    <w:qFormat/>
    <w:rsid w:val="00B315D2"/>
    <w:rPr>
      <w:i/>
    </w:rPr>
  </w:style>
  <w:style w:type="paragraph" w:customStyle="1" w:styleId="Subtitle">
    <w:name w:val="Sub title"/>
    <w:basedOn w:val="Heading1"/>
    <w:next w:val="Heading1"/>
    <w:link w:val="SubtitleChar0"/>
    <w:qFormat/>
    <w:rsid w:val="000638A0"/>
    <w:pPr>
      <w:numPr>
        <w:numId w:val="2"/>
      </w:numPr>
      <w:spacing w:before="120"/>
      <w:ind w:left="357" w:hanging="357"/>
      <w:jc w:val="left"/>
    </w:pPr>
  </w:style>
  <w:style w:type="character" w:customStyle="1" w:styleId="SubtitleChar0">
    <w:name w:val="Sub title Char"/>
    <w:link w:val="Subtitle"/>
    <w:rsid w:val="000638A0"/>
    <w:rPr>
      <w:rFonts w:ascii="Garamond" w:eastAsia="Times New Roman" w:hAnsi="Garamond"/>
      <w:b/>
      <w:bCs/>
      <w:kern w:val="32"/>
      <w:sz w:val="22"/>
      <w:szCs w:val="32"/>
      <w:lang w:val="id-ID"/>
    </w:rPr>
  </w:style>
  <w:style w:type="paragraph" w:styleId="Revision">
    <w:name w:val="Revision"/>
    <w:hidden/>
    <w:uiPriority w:val="99"/>
    <w:semiHidden/>
    <w:rsid w:val="00637FD6"/>
    <w:rPr>
      <w:rFonts w:ascii="Garamond" w:hAnsi="Garamond"/>
      <w:sz w:val="22"/>
      <w:szCs w:val="22"/>
      <w:lang w:val="id-ID"/>
    </w:rPr>
  </w:style>
  <w:style w:type="character" w:styleId="PlaceholderText">
    <w:name w:val="Placeholder Text"/>
    <w:basedOn w:val="DefaultParagraphFont"/>
    <w:uiPriority w:val="99"/>
    <w:semiHidden/>
    <w:rsid w:val="009614B6"/>
    <w:rPr>
      <w:color w:val="808080"/>
    </w:rPr>
  </w:style>
  <w:style w:type="character" w:customStyle="1" w:styleId="tlid-translation">
    <w:name w:val="tlid-translation"/>
    <w:basedOn w:val="DefaultParagraphFont"/>
    <w:rsid w:val="006C1C41"/>
  </w:style>
  <w:style w:type="character" w:customStyle="1" w:styleId="Heading6Char">
    <w:name w:val="Heading 6 Char"/>
    <w:basedOn w:val="DefaultParagraphFont"/>
    <w:link w:val="Heading6"/>
    <w:uiPriority w:val="9"/>
    <w:semiHidden/>
    <w:rsid w:val="00AF27E8"/>
    <w:rPr>
      <w:rFonts w:asciiTheme="majorHAnsi" w:eastAsiaTheme="majorEastAsia" w:hAnsiTheme="majorHAnsi" w:cstheme="majorBidi"/>
      <w:color w:val="1F4D78" w:themeColor="accent1" w:themeShade="7F"/>
      <w:sz w:val="22"/>
      <w:szCs w:val="22"/>
      <w:lang w:val="id-ID"/>
    </w:rPr>
  </w:style>
  <w:style w:type="character" w:styleId="FootnoteReference">
    <w:name w:val="footnote reference"/>
    <w:basedOn w:val="DefaultParagraphFont"/>
    <w:uiPriority w:val="99"/>
    <w:semiHidden/>
    <w:unhideWhenUsed/>
    <w:rsid w:val="00AF27E8"/>
    <w:rPr>
      <w:vertAlign w:val="superscript"/>
    </w:rPr>
  </w:style>
  <w:style w:type="character" w:customStyle="1" w:styleId="ListParagraphChar">
    <w:name w:val="List Paragraph Char"/>
    <w:basedOn w:val="DefaultParagraphFont"/>
    <w:link w:val="ListParagraph"/>
    <w:uiPriority w:val="34"/>
    <w:rsid w:val="00BC5087"/>
    <w:rPr>
      <w:rFonts w:ascii="Garamond" w:hAnsi="Garamond"/>
      <w:sz w:val="22"/>
      <w:szCs w:val="22"/>
      <w:lang w:val="id-ID"/>
    </w:rPr>
  </w:style>
  <w:style w:type="paragraph" w:styleId="NormalWeb">
    <w:name w:val="Normal (Web)"/>
    <w:basedOn w:val="Normal"/>
    <w:uiPriority w:val="99"/>
    <w:unhideWhenUsed/>
    <w:rsid w:val="008D60E4"/>
    <w:pPr>
      <w:spacing w:before="100" w:beforeAutospacing="1" w:after="100" w:afterAutospacing="1"/>
      <w:jc w:val="left"/>
    </w:pPr>
    <w:rPr>
      <w:rFonts w:ascii="Times New Roman" w:eastAsia="Times New Roman" w:hAnsi="Times New Roman"/>
      <w:sz w:val="24"/>
      <w:szCs w:val="24"/>
      <w:lang w:val="en-US"/>
    </w:rPr>
  </w:style>
  <w:style w:type="paragraph" w:customStyle="1" w:styleId="Default">
    <w:name w:val="Default"/>
    <w:rsid w:val="008D60E4"/>
    <w:pPr>
      <w:autoSpaceDE w:val="0"/>
      <w:autoSpaceDN w:val="0"/>
      <w:adjustRightInd w:val="0"/>
    </w:pPr>
    <w:rPr>
      <w:rFonts w:ascii="Garamond" w:hAnsi="Garamond" w:cs="Garamond"/>
      <w:color w:val="000000"/>
      <w:sz w:val="24"/>
      <w:szCs w:val="24"/>
    </w:rPr>
  </w:style>
  <w:style w:type="paragraph" w:styleId="HTMLPreformatted">
    <w:name w:val="HTML Preformatted"/>
    <w:basedOn w:val="Normal"/>
    <w:link w:val="HTMLPreformattedChar"/>
    <w:uiPriority w:val="99"/>
    <w:semiHidden/>
    <w:unhideWhenUsed/>
    <w:rsid w:val="00FC2EC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C2EC0"/>
    <w:rPr>
      <w:rFonts w:ascii="Consolas" w:hAnsi="Consolas" w:cs="Consolas"/>
      <w:lang w:val="id-ID"/>
    </w:rPr>
  </w:style>
  <w:style w:type="character" w:styleId="UnresolvedMention">
    <w:name w:val="Unresolved Mention"/>
    <w:basedOn w:val="DefaultParagraphFont"/>
    <w:uiPriority w:val="99"/>
    <w:semiHidden/>
    <w:unhideWhenUsed/>
    <w:rsid w:val="002D65C9"/>
    <w:rPr>
      <w:color w:val="605E5C"/>
      <w:shd w:val="clear" w:color="auto" w:fill="E1DFDD"/>
    </w:rPr>
  </w:style>
  <w:style w:type="table" w:styleId="PlainTable2">
    <w:name w:val="Plain Table 2"/>
    <w:basedOn w:val="TableNormal"/>
    <w:uiPriority w:val="42"/>
    <w:rsid w:val="00A148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111B06"/>
    <w:rPr>
      <w:sz w:val="16"/>
      <w:szCs w:val="16"/>
    </w:rPr>
  </w:style>
  <w:style w:type="paragraph" w:styleId="CommentText">
    <w:name w:val="annotation text"/>
    <w:basedOn w:val="Normal"/>
    <w:link w:val="CommentTextChar"/>
    <w:uiPriority w:val="99"/>
    <w:semiHidden/>
    <w:unhideWhenUsed/>
    <w:rsid w:val="00111B06"/>
    <w:rPr>
      <w:sz w:val="20"/>
      <w:szCs w:val="20"/>
    </w:rPr>
  </w:style>
  <w:style w:type="character" w:customStyle="1" w:styleId="CommentTextChar">
    <w:name w:val="Comment Text Char"/>
    <w:basedOn w:val="DefaultParagraphFont"/>
    <w:link w:val="CommentText"/>
    <w:uiPriority w:val="99"/>
    <w:semiHidden/>
    <w:rsid w:val="00111B06"/>
    <w:rPr>
      <w:rFonts w:ascii="Garamond" w:hAnsi="Garamond"/>
      <w:lang w:val="id-ID"/>
    </w:rPr>
  </w:style>
  <w:style w:type="character" w:customStyle="1" w:styleId="Heading3Char">
    <w:name w:val="Heading 3 Char"/>
    <w:basedOn w:val="DefaultParagraphFont"/>
    <w:link w:val="Heading3"/>
    <w:uiPriority w:val="9"/>
    <w:rsid w:val="00563959"/>
    <w:rPr>
      <w:rFonts w:asciiTheme="majorHAnsi" w:eastAsiaTheme="majorEastAsia" w:hAnsiTheme="majorHAnsi" w:cstheme="majorBidi"/>
      <w:color w:val="1F4D78" w:themeColor="accent1" w:themeShade="7F"/>
      <w:sz w:val="24"/>
      <w:szCs w:val="24"/>
      <w:lang w:val="id-ID"/>
    </w:rPr>
  </w:style>
  <w:style w:type="paragraph" w:styleId="NoSpacing">
    <w:name w:val="No Spacing"/>
    <w:link w:val="NoSpacingChar"/>
    <w:uiPriority w:val="1"/>
    <w:qFormat/>
    <w:rsid w:val="00513F09"/>
    <w:rPr>
      <w:rFonts w:eastAsia="Times New Roman"/>
      <w:sz w:val="22"/>
      <w:szCs w:val="22"/>
    </w:rPr>
  </w:style>
  <w:style w:type="character" w:customStyle="1" w:styleId="NoSpacingChar">
    <w:name w:val="No Spacing Char"/>
    <w:link w:val="NoSpacing"/>
    <w:uiPriority w:val="1"/>
    <w:rsid w:val="00513F09"/>
    <w:rPr>
      <w:rFonts w:eastAsia="Times New Roman"/>
      <w:sz w:val="22"/>
      <w:szCs w:val="22"/>
    </w:rPr>
  </w:style>
  <w:style w:type="paragraph" w:styleId="BodyText">
    <w:name w:val="Body Text"/>
    <w:basedOn w:val="Normal"/>
    <w:link w:val="BodyTextChar"/>
    <w:uiPriority w:val="99"/>
    <w:unhideWhenUsed/>
    <w:rsid w:val="00357C70"/>
    <w:pPr>
      <w:spacing w:after="120" w:line="259" w:lineRule="auto"/>
    </w:pPr>
    <w:rPr>
      <w:rFonts w:eastAsiaTheme="minorEastAsia"/>
    </w:rPr>
  </w:style>
  <w:style w:type="character" w:customStyle="1" w:styleId="BodyTextChar">
    <w:name w:val="Body Text Char"/>
    <w:basedOn w:val="DefaultParagraphFont"/>
    <w:link w:val="BodyText"/>
    <w:uiPriority w:val="99"/>
    <w:rsid w:val="00357C70"/>
    <w:rPr>
      <w:rFonts w:ascii="Garamond" w:eastAsiaTheme="minorEastAsia" w:hAnsi="Garamond"/>
      <w:sz w:val="22"/>
      <w:szCs w:val="22"/>
      <w:lang w:val="id-ID"/>
    </w:rPr>
  </w:style>
  <w:style w:type="table" w:customStyle="1" w:styleId="TableGrid2">
    <w:name w:val="Table Grid2"/>
    <w:basedOn w:val="TableNormal"/>
    <w:next w:val="TableGrid"/>
    <w:uiPriority w:val="59"/>
    <w:rsid w:val="001911C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51A9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26263"/>
    <w:rPr>
      <w:rFonts w:asciiTheme="majorHAnsi" w:eastAsiaTheme="majorEastAsia" w:hAnsiTheme="majorHAnsi" w:cstheme="majorBidi"/>
      <w:i/>
      <w:iCs/>
      <w:color w:val="2E74B5" w:themeColor="accent1" w:themeShade="BF"/>
      <w:sz w:val="22"/>
      <w:szCs w:val="22"/>
      <w:lang w:val="id-ID"/>
    </w:rPr>
  </w:style>
  <w:style w:type="character" w:customStyle="1" w:styleId="Heading5Char">
    <w:name w:val="Heading 5 Char"/>
    <w:basedOn w:val="DefaultParagraphFont"/>
    <w:link w:val="Heading5"/>
    <w:uiPriority w:val="9"/>
    <w:semiHidden/>
    <w:rsid w:val="006853FC"/>
    <w:rPr>
      <w:rFonts w:ascii="Cambria" w:eastAsia="Times New Roman" w:hAnsi="Cambria"/>
      <w:color w:val="243F60"/>
      <w:sz w:val="22"/>
      <w:szCs w:val="22"/>
      <w:lang w:val="id-ID" w:eastAsia="id-ID"/>
    </w:rPr>
  </w:style>
  <w:style w:type="character" w:customStyle="1" w:styleId="Heading7Char">
    <w:name w:val="Heading 7 Char"/>
    <w:basedOn w:val="DefaultParagraphFont"/>
    <w:link w:val="Heading7"/>
    <w:uiPriority w:val="9"/>
    <w:semiHidden/>
    <w:rsid w:val="006853FC"/>
    <w:rPr>
      <w:rFonts w:ascii="Cambria" w:eastAsia="Times New Roman" w:hAnsi="Cambria"/>
      <w:i/>
      <w:iCs/>
      <w:color w:val="404040"/>
      <w:sz w:val="22"/>
      <w:szCs w:val="22"/>
      <w:lang w:val="id-ID" w:eastAsia="id-ID"/>
    </w:rPr>
  </w:style>
  <w:style w:type="character" w:customStyle="1" w:styleId="Heading8Char">
    <w:name w:val="Heading 8 Char"/>
    <w:basedOn w:val="DefaultParagraphFont"/>
    <w:link w:val="Heading8"/>
    <w:uiPriority w:val="9"/>
    <w:semiHidden/>
    <w:rsid w:val="006853FC"/>
    <w:rPr>
      <w:rFonts w:ascii="Cambria" w:eastAsia="Times New Roman" w:hAnsi="Cambria"/>
      <w:color w:val="404040"/>
      <w:lang w:val="id-ID" w:eastAsia="id-ID"/>
    </w:rPr>
  </w:style>
  <w:style w:type="character" w:customStyle="1" w:styleId="Heading9Char">
    <w:name w:val="Heading 9 Char"/>
    <w:basedOn w:val="DefaultParagraphFont"/>
    <w:link w:val="Heading9"/>
    <w:uiPriority w:val="9"/>
    <w:semiHidden/>
    <w:rsid w:val="006853FC"/>
    <w:rPr>
      <w:rFonts w:ascii="Cambria" w:eastAsia="Times New Roman" w:hAnsi="Cambria"/>
      <w:i/>
      <w:iCs/>
      <w:color w:val="404040"/>
      <w:lang w:val="id-ID" w:eastAsia="id-ID"/>
    </w:rPr>
  </w:style>
  <w:style w:type="paragraph" w:customStyle="1" w:styleId="TTPParagraphothers">
    <w:name w:val="TTP Paragraph (others)"/>
    <w:basedOn w:val="Normal"/>
    <w:uiPriority w:val="99"/>
    <w:rsid w:val="00962BF3"/>
    <w:pPr>
      <w:autoSpaceDE w:val="0"/>
      <w:autoSpaceDN w:val="0"/>
      <w:ind w:firstLine="283"/>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unhideWhenUsed/>
    <w:rsid w:val="008E3DF5"/>
    <w:rPr>
      <w:sz w:val="20"/>
      <w:szCs w:val="20"/>
    </w:rPr>
  </w:style>
  <w:style w:type="character" w:customStyle="1" w:styleId="FootnoteTextChar">
    <w:name w:val="Footnote Text Char"/>
    <w:basedOn w:val="DefaultParagraphFont"/>
    <w:link w:val="FootnoteText"/>
    <w:uiPriority w:val="99"/>
    <w:semiHidden/>
    <w:rsid w:val="008E3DF5"/>
    <w:rPr>
      <w:rFonts w:ascii="Garamond" w:hAnsi="Garamond"/>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99849">
      <w:bodyDiv w:val="1"/>
      <w:marLeft w:val="0"/>
      <w:marRight w:val="0"/>
      <w:marTop w:val="0"/>
      <w:marBottom w:val="0"/>
      <w:divBdr>
        <w:top w:val="none" w:sz="0" w:space="0" w:color="auto"/>
        <w:left w:val="none" w:sz="0" w:space="0" w:color="auto"/>
        <w:bottom w:val="none" w:sz="0" w:space="0" w:color="auto"/>
        <w:right w:val="none" w:sz="0" w:space="0" w:color="auto"/>
      </w:divBdr>
    </w:div>
    <w:div w:id="18892448">
      <w:bodyDiv w:val="1"/>
      <w:marLeft w:val="0"/>
      <w:marRight w:val="0"/>
      <w:marTop w:val="0"/>
      <w:marBottom w:val="0"/>
      <w:divBdr>
        <w:top w:val="none" w:sz="0" w:space="0" w:color="auto"/>
        <w:left w:val="none" w:sz="0" w:space="0" w:color="auto"/>
        <w:bottom w:val="none" w:sz="0" w:space="0" w:color="auto"/>
        <w:right w:val="none" w:sz="0" w:space="0" w:color="auto"/>
      </w:divBdr>
    </w:div>
    <w:div w:id="165756337">
      <w:bodyDiv w:val="1"/>
      <w:marLeft w:val="0"/>
      <w:marRight w:val="0"/>
      <w:marTop w:val="0"/>
      <w:marBottom w:val="0"/>
      <w:divBdr>
        <w:top w:val="none" w:sz="0" w:space="0" w:color="auto"/>
        <w:left w:val="none" w:sz="0" w:space="0" w:color="auto"/>
        <w:bottom w:val="none" w:sz="0" w:space="0" w:color="auto"/>
        <w:right w:val="none" w:sz="0" w:space="0" w:color="auto"/>
      </w:divBdr>
    </w:div>
    <w:div w:id="344555175">
      <w:bodyDiv w:val="1"/>
      <w:marLeft w:val="0"/>
      <w:marRight w:val="0"/>
      <w:marTop w:val="0"/>
      <w:marBottom w:val="0"/>
      <w:divBdr>
        <w:top w:val="none" w:sz="0" w:space="0" w:color="auto"/>
        <w:left w:val="none" w:sz="0" w:space="0" w:color="auto"/>
        <w:bottom w:val="none" w:sz="0" w:space="0" w:color="auto"/>
        <w:right w:val="none" w:sz="0" w:space="0" w:color="auto"/>
      </w:divBdr>
    </w:div>
    <w:div w:id="789857622">
      <w:bodyDiv w:val="1"/>
      <w:marLeft w:val="0"/>
      <w:marRight w:val="0"/>
      <w:marTop w:val="0"/>
      <w:marBottom w:val="0"/>
      <w:divBdr>
        <w:top w:val="none" w:sz="0" w:space="0" w:color="auto"/>
        <w:left w:val="none" w:sz="0" w:space="0" w:color="auto"/>
        <w:bottom w:val="none" w:sz="0" w:space="0" w:color="auto"/>
        <w:right w:val="none" w:sz="0" w:space="0" w:color="auto"/>
      </w:divBdr>
    </w:div>
    <w:div w:id="1928607973">
      <w:bodyDiv w:val="1"/>
      <w:marLeft w:val="0"/>
      <w:marRight w:val="0"/>
      <w:marTop w:val="0"/>
      <w:marBottom w:val="0"/>
      <w:divBdr>
        <w:top w:val="none" w:sz="0" w:space="0" w:color="auto"/>
        <w:left w:val="none" w:sz="0" w:space="0" w:color="auto"/>
        <w:bottom w:val="none" w:sz="0" w:space="0" w:color="auto"/>
        <w:right w:val="none" w:sz="0" w:space="0" w:color="auto"/>
      </w:divBdr>
    </w:div>
    <w:div w:id="193018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ipcc-nggip.iges.or.jp/public/2006gl/vol2.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44DF8-840F-49B3-80ED-CEDC5D87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18748</CharactersWithSpaces>
  <SharedDoc>false</SharedDoc>
  <HLinks>
    <vt:vector size="24" baseType="variant">
      <vt:variant>
        <vt:i4>7995491</vt:i4>
      </vt:variant>
      <vt:variant>
        <vt:i4>21</vt:i4>
      </vt:variant>
      <vt:variant>
        <vt:i4>0</vt:i4>
      </vt:variant>
      <vt:variant>
        <vt:i4>5</vt:i4>
      </vt:variant>
      <vt:variant>
        <vt:lpwstr>http://www.fuzzy.cs.uni-magdeburg/</vt:lpwstr>
      </vt:variant>
      <vt:variant>
        <vt:lpwstr/>
      </vt:variant>
      <vt:variant>
        <vt:i4>6881308</vt:i4>
      </vt:variant>
      <vt:variant>
        <vt:i4>6</vt:i4>
      </vt:variant>
      <vt:variant>
        <vt:i4>0</vt:i4>
      </vt:variant>
      <vt:variant>
        <vt:i4>5</vt:i4>
      </vt:variant>
      <vt:variant>
        <vt:lpwstr>mailto:3xxx@xxxx.xxx</vt:lpwstr>
      </vt:variant>
      <vt:variant>
        <vt:lpwstr/>
      </vt:variant>
      <vt:variant>
        <vt:i4>6815772</vt:i4>
      </vt:variant>
      <vt:variant>
        <vt:i4>3</vt:i4>
      </vt:variant>
      <vt:variant>
        <vt:i4>0</vt:i4>
      </vt:variant>
      <vt:variant>
        <vt:i4>5</vt:i4>
      </vt:variant>
      <vt:variant>
        <vt:lpwstr>mailto:2xxx@xxxx.xxx</vt:lpwstr>
      </vt:variant>
      <vt:variant>
        <vt:lpwstr/>
      </vt:variant>
      <vt:variant>
        <vt:i4>327794</vt:i4>
      </vt:variant>
      <vt:variant>
        <vt:i4>0</vt:i4>
      </vt:variant>
      <vt:variant>
        <vt:i4>0</vt:i4>
      </vt:variant>
      <vt:variant>
        <vt:i4>5</vt:i4>
      </vt:variant>
      <vt:variant>
        <vt:lpwstr>mailto:1xxxx@xxxx.xxx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2024-06-24T17:01:00Z</dcterms:created>
  <dcterms:modified xsi:type="dcterms:W3CDTF">2024-06-30T16:12:00Z</dcterms:modified>
</cp:coreProperties>
</file>